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127D" w14:textId="77777777" w:rsidR="0055552B" w:rsidRDefault="0055552B" w:rsidP="0055552B">
      <w:pPr>
        <w:pStyle w:val="Heading4"/>
        <w:shd w:val="clear" w:color="auto" w:fill="FFFFFF"/>
        <w:spacing w:before="75" w:beforeAutospacing="0" w:after="150" w:afterAutospacing="0" w:line="375" w:lineRule="atLeast"/>
        <w:rPr>
          <w:rFonts w:ascii="Open Sans" w:hAnsi="Open Sans" w:cs="Open Sans"/>
          <w:b w:val="0"/>
          <w:bCs w:val="0"/>
          <w:color w:val="585F69"/>
          <w:sz w:val="27"/>
          <w:szCs w:val="27"/>
        </w:rPr>
      </w:pPr>
      <w:r>
        <w:rPr>
          <w:rFonts w:ascii="Open Sans" w:hAnsi="Open Sans" w:cs="Open Sans"/>
          <w:b w:val="0"/>
          <w:bCs w:val="0"/>
          <w:color w:val="585F69"/>
          <w:sz w:val="27"/>
          <w:szCs w:val="27"/>
        </w:rPr>
        <w:t>Unmasking the danger: Investigating factors predisposing liver transplant recipients to invasive fungal infections</w:t>
      </w:r>
    </w:p>
    <w:p w14:paraId="66CEAAD0" w14:textId="77777777" w:rsidR="0055552B" w:rsidRDefault="0055552B" w:rsidP="0055552B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Helvetica Neue" w:hAnsi="Helvetica Neue"/>
          <w:color w:val="555555"/>
          <w:sz w:val="20"/>
          <w:szCs w:val="20"/>
        </w:rPr>
      </w:pPr>
      <w:r>
        <w:rPr>
          <w:rStyle w:val="Strong"/>
          <w:rFonts w:ascii="Helvetica Neue" w:hAnsi="Helvetica Neue"/>
          <w:color w:val="555555"/>
          <w:sz w:val="20"/>
          <w:szCs w:val="20"/>
        </w:rPr>
        <w:t>Introduction:</w:t>
      </w:r>
    </w:p>
    <w:p w14:paraId="226703D4" w14:textId="5BB5C18A" w:rsidR="0055552B" w:rsidRDefault="0055552B" w:rsidP="0055552B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555555"/>
          <w:sz w:val="20"/>
          <w:szCs w:val="20"/>
        </w:rPr>
      </w:pPr>
      <w:r>
        <w:rPr>
          <w:rFonts w:ascii="Helvetica Neue" w:hAnsi="Helvetica Neue"/>
          <w:color w:val="555555"/>
          <w:sz w:val="20"/>
          <w:szCs w:val="20"/>
        </w:rPr>
        <w:t xml:space="preserve">Invasive fungal infections (IFI) contribute significantly to post-operative morbidity and mortality following Liver transplantation (LT). Identification of risk factors will guide clinicians to initiate prophylactic </w:t>
      </w:r>
      <w:proofErr w:type="spellStart"/>
      <w:r>
        <w:rPr>
          <w:rFonts w:ascii="Helvetica Neue" w:hAnsi="Helvetica Neue"/>
          <w:color w:val="555555"/>
          <w:sz w:val="20"/>
          <w:szCs w:val="20"/>
        </w:rPr>
        <w:t>therapy.Aim</w:t>
      </w:r>
      <w:proofErr w:type="spellEnd"/>
      <w:r>
        <w:rPr>
          <w:rFonts w:ascii="Helvetica Neue" w:hAnsi="Helvetica Neue"/>
          <w:color w:val="555555"/>
          <w:sz w:val="20"/>
          <w:szCs w:val="20"/>
        </w:rPr>
        <w:t xml:space="preserve"> of our study is comprehensive analysis of post LT IFI over a three-year period with focus on clinical predictors and patient outcomes.</w:t>
      </w:r>
    </w:p>
    <w:p w14:paraId="47996D12" w14:textId="77777777" w:rsidR="0055552B" w:rsidRDefault="0055552B" w:rsidP="0055552B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555555"/>
          <w:sz w:val="20"/>
          <w:szCs w:val="20"/>
        </w:rPr>
      </w:pPr>
      <w:r>
        <w:rPr>
          <w:rFonts w:ascii="Helvetica Neue" w:hAnsi="Helvetica Neue"/>
          <w:color w:val="555555"/>
          <w:sz w:val="20"/>
          <w:szCs w:val="20"/>
        </w:rPr>
        <w:br/>
      </w:r>
      <w:r>
        <w:rPr>
          <w:rStyle w:val="Strong"/>
          <w:rFonts w:ascii="Helvetica Neue" w:hAnsi="Helvetica Neue"/>
          <w:color w:val="555555"/>
          <w:sz w:val="20"/>
          <w:szCs w:val="20"/>
        </w:rPr>
        <w:t>Materials and Methods:</w:t>
      </w:r>
      <w:r>
        <w:rPr>
          <w:rFonts w:ascii="Helvetica Neue" w:hAnsi="Helvetica Neue"/>
          <w:color w:val="555555"/>
          <w:sz w:val="20"/>
          <w:szCs w:val="20"/>
        </w:rPr>
        <w:t> </w:t>
      </w:r>
    </w:p>
    <w:p w14:paraId="650A9B41" w14:textId="66362E41" w:rsidR="0055552B" w:rsidRDefault="0055552B" w:rsidP="0055552B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555555"/>
          <w:sz w:val="20"/>
          <w:szCs w:val="20"/>
        </w:rPr>
      </w:pPr>
      <w:r>
        <w:rPr>
          <w:rFonts w:ascii="Helvetica Neue" w:hAnsi="Helvetica Neue"/>
          <w:color w:val="555555"/>
          <w:sz w:val="20"/>
          <w:szCs w:val="20"/>
        </w:rPr>
        <w:t xml:space="preserve">We conducted a retrospective cohort study to calculate incidence of IFI in adult and </w:t>
      </w:r>
      <w:proofErr w:type="spellStart"/>
      <w:r>
        <w:rPr>
          <w:rFonts w:ascii="Helvetica Neue" w:hAnsi="Helvetica Neue"/>
          <w:color w:val="555555"/>
          <w:sz w:val="20"/>
          <w:szCs w:val="20"/>
        </w:rPr>
        <w:t>pediatric</w:t>
      </w:r>
      <w:proofErr w:type="spellEnd"/>
      <w:r>
        <w:rPr>
          <w:rFonts w:ascii="Helvetica Neue" w:hAnsi="Helvetica Neue"/>
          <w:color w:val="555555"/>
          <w:sz w:val="20"/>
          <w:szCs w:val="20"/>
        </w:rPr>
        <w:t xml:space="preserve"> LT recipients between 2020 to 2023 at our centre. Patients who were diagnosed with culture-proven fungal infection of blood, body fluid, skin, soft tissue, and viscera were included. Data was collected on demographics, disease characteristics, operative details and post-operative course. Risk factors for development of IFI and risk factors for mortality among IFI  were identified by univariate and multivariate analysis.</w:t>
      </w:r>
    </w:p>
    <w:p w14:paraId="10FF8ED1" w14:textId="77777777" w:rsidR="0055552B" w:rsidRDefault="0055552B" w:rsidP="0055552B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555555"/>
          <w:sz w:val="20"/>
          <w:szCs w:val="20"/>
        </w:rPr>
      </w:pPr>
      <w:r>
        <w:rPr>
          <w:rFonts w:ascii="Helvetica Neue" w:hAnsi="Helvetica Neue"/>
          <w:color w:val="555555"/>
          <w:sz w:val="20"/>
          <w:szCs w:val="20"/>
        </w:rPr>
        <w:br/>
      </w:r>
      <w:r>
        <w:rPr>
          <w:rStyle w:val="Strong"/>
          <w:rFonts w:ascii="Helvetica Neue" w:hAnsi="Helvetica Neue"/>
          <w:color w:val="555555"/>
          <w:sz w:val="20"/>
          <w:szCs w:val="20"/>
        </w:rPr>
        <w:t>Results:</w:t>
      </w:r>
      <w:r>
        <w:rPr>
          <w:rFonts w:ascii="Helvetica Neue" w:hAnsi="Helvetica Neue"/>
          <w:color w:val="555555"/>
          <w:sz w:val="20"/>
          <w:szCs w:val="20"/>
        </w:rPr>
        <w:t> </w:t>
      </w:r>
    </w:p>
    <w:p w14:paraId="62F2F224" w14:textId="63FA363C" w:rsidR="0055552B" w:rsidRDefault="0055552B" w:rsidP="0055552B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555555"/>
          <w:sz w:val="20"/>
          <w:szCs w:val="20"/>
        </w:rPr>
      </w:pPr>
      <w:r>
        <w:rPr>
          <w:rFonts w:ascii="Helvetica Neue" w:hAnsi="Helvetica Neue"/>
          <w:color w:val="555555"/>
          <w:sz w:val="20"/>
          <w:szCs w:val="20"/>
        </w:rPr>
        <w:t xml:space="preserve">364 patients underwent LT in the stipulated period. 24.5% (n=89) were female and 27.2% (n=99) of recipients were children. 27 patients underwent LT for ALF; rest for DCLD. IFI was diagnosed in 8.5% (n=31); the most common organism isolated was Candida albicans (32.2%), followed by non-albicans Candida (25.8%) and Aspergillus(19.4%). Body fluids (32.3%)were the most commonly reported site of IFI followed by visceral(25.8%),skin &amp; soft tissue (19.4%). When compared with non-IFI group, IFI group had significantly longer hospital stay (40 d vs 17 d, p&lt;0.001), longer ICU stay(p&lt;0.001),higher perioperative mortality rate (29% vs 4.5 %, p&lt;0.001) and higher overall mortality rate (35.5% vs 6%,p&lt;0.001). On multivariate analysis, risk factors for development of IFI were found to be female gender (OR- 6.8(1.3,37), p=0.026), postoperative Acute kidney injury(OR- 20.0 (4.6,87.6) p=&lt;0.001), Peri-operative therapeutic plasma exchange (TPE) (OR- 16.2(2.3,113) p=0.004), and Roux </w:t>
      </w:r>
      <w:proofErr w:type="spellStart"/>
      <w:r>
        <w:rPr>
          <w:rFonts w:ascii="Helvetica Neue" w:hAnsi="Helvetica Neue"/>
          <w:color w:val="555555"/>
          <w:sz w:val="20"/>
          <w:szCs w:val="20"/>
        </w:rPr>
        <w:t>en</w:t>
      </w:r>
      <w:proofErr w:type="spellEnd"/>
      <w:r>
        <w:rPr>
          <w:rFonts w:ascii="Helvetica Neue" w:hAnsi="Helvetica Neue"/>
          <w:color w:val="555555"/>
          <w:sz w:val="20"/>
          <w:szCs w:val="20"/>
        </w:rPr>
        <w:t xml:space="preserve"> Y Hepaticojejunostomy (OR- 49 (5.2,434; p&lt;0.001). On univariate </w:t>
      </w:r>
      <w:proofErr w:type="spellStart"/>
      <w:r>
        <w:rPr>
          <w:rFonts w:ascii="Helvetica Neue" w:hAnsi="Helvetica Neue"/>
          <w:color w:val="555555"/>
          <w:sz w:val="20"/>
          <w:szCs w:val="20"/>
        </w:rPr>
        <w:t>analysis,predictors</w:t>
      </w:r>
      <w:proofErr w:type="spellEnd"/>
      <w:r>
        <w:rPr>
          <w:rFonts w:ascii="Helvetica Neue" w:hAnsi="Helvetica Neue"/>
          <w:color w:val="555555"/>
          <w:sz w:val="20"/>
          <w:szCs w:val="20"/>
        </w:rPr>
        <w:t xml:space="preserve"> for mortality in invasive fungal group are Diabetes </w:t>
      </w:r>
      <w:proofErr w:type="spellStart"/>
      <w:r>
        <w:rPr>
          <w:rFonts w:ascii="Helvetica Neue" w:hAnsi="Helvetica Neue"/>
          <w:color w:val="555555"/>
          <w:sz w:val="20"/>
          <w:szCs w:val="20"/>
        </w:rPr>
        <w:t>Mellitus,Early</w:t>
      </w:r>
      <w:proofErr w:type="spellEnd"/>
      <w:r>
        <w:rPr>
          <w:rFonts w:ascii="Helvetica Neue" w:hAnsi="Helvetica Neue"/>
          <w:color w:val="555555"/>
          <w:sz w:val="20"/>
          <w:szCs w:val="20"/>
        </w:rPr>
        <w:t xml:space="preserve"> allograft </w:t>
      </w:r>
      <w:proofErr w:type="spellStart"/>
      <w:r>
        <w:rPr>
          <w:rFonts w:ascii="Helvetica Neue" w:hAnsi="Helvetica Neue"/>
          <w:color w:val="555555"/>
          <w:sz w:val="20"/>
          <w:szCs w:val="20"/>
        </w:rPr>
        <w:t>dysfunction,Postoperative</w:t>
      </w:r>
      <w:proofErr w:type="spellEnd"/>
      <w:r>
        <w:rPr>
          <w:rFonts w:ascii="Helvetica Neue" w:hAnsi="Helvetica Neue"/>
          <w:color w:val="555555"/>
          <w:sz w:val="20"/>
          <w:szCs w:val="20"/>
        </w:rPr>
        <w:t xml:space="preserve"> renal replacement therapy. Among patients with IFI, there were no factors predictive of mortality on multivariate analysis.</w:t>
      </w:r>
    </w:p>
    <w:p w14:paraId="78493C1D" w14:textId="77777777" w:rsidR="0055552B" w:rsidRDefault="0055552B" w:rsidP="0055552B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555555"/>
          <w:sz w:val="20"/>
          <w:szCs w:val="20"/>
        </w:rPr>
      </w:pPr>
      <w:r>
        <w:rPr>
          <w:rFonts w:ascii="Helvetica Neue" w:hAnsi="Helvetica Neue"/>
          <w:color w:val="555555"/>
          <w:sz w:val="20"/>
          <w:szCs w:val="20"/>
        </w:rPr>
        <w:br/>
      </w:r>
      <w:r>
        <w:rPr>
          <w:rStyle w:val="Strong"/>
          <w:rFonts w:ascii="Helvetica Neue" w:hAnsi="Helvetica Neue"/>
          <w:color w:val="555555"/>
          <w:sz w:val="20"/>
          <w:szCs w:val="20"/>
        </w:rPr>
        <w:t>Conclusion:</w:t>
      </w:r>
      <w:r>
        <w:rPr>
          <w:rFonts w:ascii="Helvetica Neue" w:hAnsi="Helvetica Neue"/>
          <w:color w:val="555555"/>
          <w:sz w:val="20"/>
          <w:szCs w:val="20"/>
        </w:rPr>
        <w:t> </w:t>
      </w:r>
    </w:p>
    <w:p w14:paraId="1D402DA4" w14:textId="3716946F" w:rsidR="0055552B" w:rsidRDefault="0055552B" w:rsidP="0055552B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555555"/>
          <w:sz w:val="20"/>
          <w:szCs w:val="20"/>
        </w:rPr>
      </w:pPr>
      <w:r>
        <w:rPr>
          <w:rFonts w:ascii="Helvetica Neue" w:hAnsi="Helvetica Neue"/>
          <w:color w:val="555555"/>
          <w:sz w:val="20"/>
          <w:szCs w:val="20"/>
        </w:rPr>
        <w:t xml:space="preserve">IFI in LT recipients contributes to post operative morbidity and mortality. Also, IFI significantly prolongs hospital and ICU stay.  Patients with perioperative TPE, post-operative renal failure and </w:t>
      </w:r>
      <w:proofErr w:type="spellStart"/>
      <w:r>
        <w:rPr>
          <w:rFonts w:ascii="Helvetica Neue" w:hAnsi="Helvetica Neue"/>
          <w:color w:val="555555"/>
          <w:sz w:val="20"/>
          <w:szCs w:val="20"/>
        </w:rPr>
        <w:t>bilioenteric</w:t>
      </w:r>
      <w:proofErr w:type="spellEnd"/>
      <w:r>
        <w:rPr>
          <w:rFonts w:ascii="Helvetica Neue" w:hAnsi="Helvetica Neue"/>
          <w:color w:val="555555"/>
          <w:sz w:val="20"/>
          <w:szCs w:val="20"/>
        </w:rPr>
        <w:t xml:space="preserve"> anastomosis are at higher risk of developing IFI, necessitating antifungal prophylaxis in these select group. The type of organism and site of IFI does not predict mortality.</w:t>
      </w:r>
    </w:p>
    <w:p w14:paraId="1693011F" w14:textId="77777777" w:rsidR="00C945BB" w:rsidRDefault="00C945BB"/>
    <w:sectPr w:rsidR="00C94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2B"/>
    <w:rsid w:val="0055552B"/>
    <w:rsid w:val="0085548D"/>
    <w:rsid w:val="00C9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F1025D"/>
  <w15:chartTrackingRefBased/>
  <w15:docId w15:val="{306532DC-C1E8-6449-A7B6-488EE41F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555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5552B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555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555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ActSoftware</dc:creator>
  <cp:keywords/>
  <dc:description/>
  <cp:lastModifiedBy>ActSoftware</cp:lastModifiedBy>
  <cp:revision>1</cp:revision>
  <dcterms:created xsi:type="dcterms:W3CDTF">2024-04-26T16:41:00Z</dcterms:created>
  <dcterms:modified xsi:type="dcterms:W3CDTF">2024-04-26T16:43:00Z</dcterms:modified>
</cp:coreProperties>
</file>