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932A" w14:textId="77777777" w:rsidR="00D454B9" w:rsidRPr="00D454B9" w:rsidRDefault="00D454B9" w:rsidP="00D454B9">
      <w:pPr>
        <w:shd w:val="clear" w:color="auto" w:fill="FFFFFF"/>
        <w:spacing w:before="75" w:after="150" w:line="375" w:lineRule="atLeast"/>
        <w:jc w:val="both"/>
        <w:outlineLvl w:val="3"/>
        <w:rPr>
          <w:rFonts w:ascii="Open Sans" w:eastAsia="Times New Roman" w:hAnsi="Open Sans" w:cs="Open Sans"/>
          <w:color w:val="585F69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Open Sans" w:eastAsia="Times New Roman" w:hAnsi="Open Sans" w:cs="Open Sans"/>
          <w:color w:val="585F69"/>
          <w:kern w:val="0"/>
          <w:sz w:val="24"/>
          <w:szCs w:val="24"/>
          <w:lang w:eastAsia="en-IN"/>
          <w14:ligatures w14:val="none"/>
        </w:rPr>
        <w:t>A prospective observational study to assess the role of donor derived cell free DNA (dd-cfDNA) in predicting active rejection in renal allograft recipients</w:t>
      </w:r>
    </w:p>
    <w:p w14:paraId="145771FD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Debdeep Mondal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1,2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, Pratik Das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1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.</w:t>
      </w:r>
    </w:p>
    <w:p w14:paraId="79BCA9D2" w14:textId="44E8582D" w:rsid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1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Nephrology, R.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N.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Tagore International Institute of Cardiac Sciences, Kolkata, India; 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vertAlign w:val="superscript"/>
          <w:lang w:eastAsia="en-IN"/>
          <w14:ligatures w14:val="none"/>
        </w:rPr>
        <w:t>2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Nephrology, Healthworld Hospitals, Durgapur, Asansol, India</w:t>
      </w:r>
    </w:p>
    <w:p w14:paraId="08853880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</w:p>
    <w:p w14:paraId="55CBDA9B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b/>
          <w:bCs/>
          <w:color w:val="555555"/>
          <w:kern w:val="0"/>
          <w:sz w:val="24"/>
          <w:szCs w:val="24"/>
          <w:lang w:eastAsia="en-IN"/>
          <w14:ligatures w14:val="none"/>
        </w:rPr>
        <w:t>Introduction</w:t>
      </w:r>
    </w:p>
    <w:p w14:paraId="088E518A" w14:textId="10EEFFB3" w:rsid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Despite significant rise in renal transplantation figures worldwide,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the main concern of transplantation is rejection.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Allograft biopsy is considered gold standard for diagnosis but often not feasible due to its invasive nature.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Rise in serum creatinine is not specific for rejection &amp; often contributed by other factors also.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Donor derived cell free DNA (dd-cfDNA) are found in blood and urine originated from allograft cells in the setting of allograft </w:t>
      </w:r>
      <w:proofErr w:type="gramStart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injury  serves</w:t>
      </w:r>
      <w:proofErr w:type="gramEnd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  as non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i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n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vasive biomarker. Lack of data in renal allograft recipients (specially in Indian subcontinent) prompted us to do the study</w:t>
      </w:r>
    </w:p>
    <w:p w14:paraId="01B1196E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</w:p>
    <w:p w14:paraId="56DADDD1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b/>
          <w:bCs/>
          <w:color w:val="555555"/>
          <w:kern w:val="0"/>
          <w:sz w:val="24"/>
          <w:szCs w:val="24"/>
          <w:lang w:eastAsia="en-IN"/>
          <w14:ligatures w14:val="none"/>
        </w:rPr>
        <w:t>Method</w:t>
      </w:r>
    </w:p>
    <w:p w14:paraId="257C8E18" w14:textId="6398C5AE" w:rsid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In this prospective observational single centre study 45 patients were evaluated within 1 year of study period. 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Cellfree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-DNA was isolated from plasma and result was represented as % of dd-cfDNA in total cfDNA sample. Levels of plasma dd-cfDNA &amp; serum creatinine compared with allograft rejection status ascertained by histology in biopsy specimens (32 indication biopsies,13 protocol biopsies) and analysed statistically</w:t>
      </w:r>
    </w:p>
    <w:p w14:paraId="0552C16F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</w:p>
    <w:p w14:paraId="3663E92A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b/>
          <w:bCs/>
          <w:color w:val="555555"/>
          <w:kern w:val="0"/>
          <w:sz w:val="24"/>
          <w:szCs w:val="24"/>
          <w:lang w:eastAsia="en-IN"/>
          <w14:ligatures w14:val="none"/>
        </w:rPr>
        <w:t>Result</w:t>
      </w:r>
    </w:p>
    <w:p w14:paraId="31F4BDCF" w14:textId="0B24FCFB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29 (out of 45) patients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(64.4%) had biopsy proven rejection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(ABMR-51.8</w:t>
      </w:r>
      <w:proofErr w:type="gramStart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%,TCMR</w:t>
      </w:r>
      <w:proofErr w:type="gramEnd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-24.1%,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Mixed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rejection-24.1%)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Other findings: ATN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(6.7%),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CNI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toxicity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(4.4%),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recurrence of basic disease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(2.2%) &amp; IFTA </w:t>
      </w:r>
    </w:p>
    <w:p w14:paraId="152287F7" w14:textId="6A2E3E9D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dd-cfDNA levels discriminated rejection with ROC-AUC of 0.9 and provided an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br/>
        <w:t>estimated NPV 72.73% &amp; PPV 100 % at cut off of 0.83% dd-cfDNA &amp; had 100% specificity &amp; 79.31% sensitivity to discriminate rejection from non-rejection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(all parameters better than creatinine)</w:t>
      </w:r>
    </w:p>
    <w:p w14:paraId="68C6D96F" w14:textId="77777777" w:rsidR="00D454B9" w:rsidRPr="00D454B9" w:rsidRDefault="00D454B9" w:rsidP="00D454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noProof/>
          <w:color w:val="333333"/>
          <w:kern w:val="0"/>
          <w:sz w:val="24"/>
          <w:szCs w:val="24"/>
          <w:lang w:eastAsia="en-IN"/>
          <w14:ligatures w14:val="none"/>
        </w:rPr>
        <w:lastRenderedPageBreak/>
        <w:drawing>
          <wp:inline distT="0" distB="0" distL="0" distR="0" wp14:anchorId="00A92C9A" wp14:editId="2CECEC54">
            <wp:extent cx="5627821" cy="406320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12" cy="408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54D6" w14:textId="77777777" w:rsidR="00D454B9" w:rsidRPr="00D454B9" w:rsidRDefault="00D454B9" w:rsidP="00D454B9">
      <w:pPr>
        <w:shd w:val="clear" w:color="auto" w:fill="FFFFFF"/>
        <w:spacing w:before="75" w:line="375" w:lineRule="atLeast"/>
        <w:jc w:val="both"/>
        <w:outlineLvl w:val="3"/>
        <w:rPr>
          <w:rFonts w:ascii="Open Sans" w:eastAsia="Times New Roman" w:hAnsi="Open Sans" w:cs="Open Sans"/>
          <w:color w:val="585F69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Open Sans" w:eastAsia="Times New Roman" w:hAnsi="Open Sans" w:cs="Open Sans"/>
          <w:color w:val="585F69"/>
          <w:kern w:val="0"/>
          <w:sz w:val="24"/>
          <w:szCs w:val="24"/>
          <w:lang w:eastAsia="en-IN"/>
          <w14:ligatures w14:val="none"/>
        </w:rPr>
        <w:t>ROC curve for dd-cfDNA and creatinine to discriminate between rejection and nonrejection</w:t>
      </w:r>
    </w:p>
    <w:p w14:paraId="4F136398" w14:textId="77777777" w:rsidR="00D454B9" w:rsidRPr="00D454B9" w:rsidRDefault="00D454B9" w:rsidP="00D454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noProof/>
          <w:color w:val="333333"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0454DF27" wp14:editId="3DD6B6D9">
            <wp:extent cx="5767981" cy="3664688"/>
            <wp:effectExtent l="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407" cy="370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08D7E" w14:textId="77777777" w:rsidR="00D454B9" w:rsidRPr="00D454B9" w:rsidRDefault="00D454B9" w:rsidP="00D454B9">
      <w:pPr>
        <w:shd w:val="clear" w:color="auto" w:fill="FFFFFF"/>
        <w:spacing w:before="75" w:line="375" w:lineRule="atLeast"/>
        <w:jc w:val="both"/>
        <w:outlineLvl w:val="3"/>
        <w:rPr>
          <w:rFonts w:ascii="Open Sans" w:eastAsia="Times New Roman" w:hAnsi="Open Sans" w:cs="Open Sans"/>
          <w:color w:val="585F69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Open Sans" w:eastAsia="Times New Roman" w:hAnsi="Open Sans" w:cs="Open Sans"/>
          <w:color w:val="585F69"/>
          <w:kern w:val="0"/>
          <w:sz w:val="24"/>
          <w:szCs w:val="24"/>
          <w:lang w:eastAsia="en-IN"/>
          <w14:ligatures w14:val="none"/>
        </w:rPr>
        <w:t>Comparison of creatinine and dd-cfDNA between rejection and nonrejection</w:t>
      </w:r>
    </w:p>
    <w:p w14:paraId="02A0FB5C" w14:textId="1404B05F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lastRenderedPageBreak/>
        <w:t>dd-cfDNA was significantly different in median values among ABMR,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TCMR &amp; Mixed rejection</w:t>
      </w:r>
    </w:p>
    <w:p w14:paraId="74D7B111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dd-cfDNA levels discriminated ABMR from TCMR with ROC-AUC of 0.95 at a cut off of 1.14% however serum creatinine failed to do so </w:t>
      </w:r>
    </w:p>
    <w:p w14:paraId="11B0BF4F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br/>
        <w:t>dd-cfDNA detects Active ABMR at a lower cut off value of 0.75% (ROC-AUC of 0.995) (as compared to 0.83% for whole rejection group) probably due to widespread tissue injury</w:t>
      </w:r>
    </w:p>
    <w:p w14:paraId="44A7F3EB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dd-cfDNA levels discriminated Chronic active ABMR with ROC-AUC of 1.0 at a cut off of 0.83% from non-rejection group </w:t>
      </w:r>
    </w:p>
    <w:p w14:paraId="7A455D60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No statistically significant difference between serum creatinine and dd-cfDNA in Active ABMR and Chronic active ABMR, hence they can't differentiate between them</w:t>
      </w:r>
    </w:p>
    <w:p w14:paraId="521C385D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b/>
          <w:bCs/>
          <w:color w:val="555555"/>
          <w:kern w:val="0"/>
          <w:sz w:val="24"/>
          <w:szCs w:val="24"/>
          <w:lang w:eastAsia="en-IN"/>
          <w14:ligatures w14:val="none"/>
        </w:rPr>
        <w:t>Conclusion</w:t>
      </w:r>
    </w:p>
    <w:p w14:paraId="1FAB37CE" w14:textId="623B5BFC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dd-cfDNA can be used as a </w:t>
      </w:r>
      <w:proofErr w:type="gramStart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non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invasive</w:t>
      </w:r>
      <w:proofErr w:type="gramEnd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biomarker as it can discriminate between rejection &amp; nonrejection with a cut off of 0.83% with better sensitivity, specificity, PPV &amp; NPV than serum creatinine</w:t>
      </w:r>
    </w:p>
    <w:p w14:paraId="0688A285" w14:textId="7432DAA0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The elevation of ddcf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-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DNA is significantly higher in ABMR and mixed rejection than in TCMR</w:t>
      </w:r>
    </w:p>
    <w:p w14:paraId="42CF8323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Immensely helpful in predicting rejection when there is contraindication for biopsy or unwillingness for invasive procedure</w:t>
      </w:r>
    </w:p>
    <w:p w14:paraId="2DE69FBF" w14:textId="1A44B7B4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Useful in detecting rejection when histology </w:t>
      </w:r>
      <w:proofErr w:type="gramStart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are</w:t>
      </w:r>
      <w:proofErr w:type="gramEnd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 not conclusive for active ABMR but there is strong suspicion for ABMR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(e.g unexplained ATN in presence of DSA)</w:t>
      </w:r>
    </w:p>
    <w:p w14:paraId="038B278D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Useful as a screening tool for monitoring rejection in absence of clinically evident graft dysfunction</w:t>
      </w:r>
    </w:p>
    <w:p w14:paraId="0C78F271" w14:textId="5948301B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In future largescale studies needed to explore its potential as </w:t>
      </w:r>
      <w:proofErr w:type="gramStart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non</w:t>
      </w:r>
      <w:r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</w:t>
      </w: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invasive</w:t>
      </w:r>
      <w:proofErr w:type="gramEnd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biomarker</w:t>
      </w:r>
    </w:p>
    <w:p w14:paraId="16F97E98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 </w:t>
      </w:r>
    </w:p>
    <w:p w14:paraId="7C7A40C4" w14:textId="77777777" w:rsidR="00D454B9" w:rsidRPr="00D454B9" w:rsidRDefault="00D454B9" w:rsidP="00D454B9">
      <w:pPr>
        <w:shd w:val="clear" w:color="auto" w:fill="FFFFFF"/>
        <w:spacing w:before="75" w:after="150" w:line="300" w:lineRule="atLeast"/>
        <w:jc w:val="both"/>
        <w:outlineLvl w:val="4"/>
        <w:rPr>
          <w:rFonts w:ascii="Open Sans" w:eastAsia="Times New Roman" w:hAnsi="Open Sans" w:cs="Open Sans"/>
          <w:color w:val="585F69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Open Sans" w:eastAsia="Times New Roman" w:hAnsi="Open Sans" w:cs="Open Sans"/>
          <w:b/>
          <w:bCs/>
          <w:color w:val="585F69"/>
          <w:kern w:val="0"/>
          <w:sz w:val="24"/>
          <w:szCs w:val="24"/>
          <w:lang w:eastAsia="en-IN"/>
          <w14:ligatures w14:val="none"/>
        </w:rPr>
        <w:t>Keywords:</w:t>
      </w:r>
    </w:p>
    <w:p w14:paraId="79139E34" w14:textId="77777777" w:rsidR="00D454B9" w:rsidRPr="00D454B9" w:rsidRDefault="00D454B9" w:rsidP="00D454B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</w:pPr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[1] donor derived cell free </w:t>
      </w:r>
      <w:proofErr w:type="gramStart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>DNA ,</w:t>
      </w:r>
      <w:proofErr w:type="gramEnd"/>
      <w:r w:rsidRPr="00D454B9">
        <w:rPr>
          <w:rFonts w:ascii="Helvetica" w:eastAsia="Times New Roman" w:hAnsi="Helvetica" w:cs="Helvetica"/>
          <w:color w:val="555555"/>
          <w:kern w:val="0"/>
          <w:sz w:val="24"/>
          <w:szCs w:val="24"/>
          <w:lang w:eastAsia="en-IN"/>
          <w14:ligatures w14:val="none"/>
        </w:rPr>
        <w:t xml:space="preserve"> dd-cfDNA, rejection , renal transplant, antibody mediated rejection , renal allograft biopsy , noninvasive biomarker , creatinine</w:t>
      </w:r>
    </w:p>
    <w:p w14:paraId="6A81619A" w14:textId="77777777" w:rsidR="00741F9E" w:rsidRPr="00D454B9" w:rsidRDefault="00741F9E" w:rsidP="00D454B9">
      <w:pPr>
        <w:jc w:val="both"/>
        <w:rPr>
          <w:sz w:val="24"/>
          <w:szCs w:val="24"/>
        </w:rPr>
      </w:pPr>
    </w:p>
    <w:sectPr w:rsidR="00741F9E" w:rsidRPr="00D45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63"/>
    <w:rsid w:val="0063587F"/>
    <w:rsid w:val="00741F9E"/>
    <w:rsid w:val="008A5363"/>
    <w:rsid w:val="00D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2DA1"/>
  <w15:chartTrackingRefBased/>
  <w15:docId w15:val="{70FEC8B7-E5EB-4657-8B9B-04DD8149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388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2074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62102">
              <w:marLeft w:val="0"/>
              <w:marRight w:val="0"/>
              <w:marTop w:val="0"/>
              <w:marBottom w:val="30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6940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Debdeep Mondal</dc:creator>
  <cp:keywords/>
  <dc:description/>
  <cp:lastModifiedBy>Dr. Debdeep Mondal</cp:lastModifiedBy>
  <cp:revision>2</cp:revision>
  <dcterms:created xsi:type="dcterms:W3CDTF">2024-03-18T15:01:00Z</dcterms:created>
  <dcterms:modified xsi:type="dcterms:W3CDTF">2024-03-18T15:07:00Z</dcterms:modified>
</cp:coreProperties>
</file>