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08.5714285714286" w:lineRule="auto"/>
        <w:jc w:val="center"/>
        <w:rPr>
          <w:sz w:val="24"/>
          <w:szCs w:val="24"/>
          <w:highlight w:val="white"/>
        </w:rPr>
      </w:pPr>
      <w:r w:rsidDel="00000000" w:rsidR="00000000" w:rsidRPr="00000000">
        <w:rPr>
          <w:sz w:val="24"/>
          <w:szCs w:val="24"/>
          <w:highlight w:val="white"/>
          <w:rtl w:val="0"/>
        </w:rPr>
        <w:t xml:space="preserve">Immunological effects of Abdominal Rectus Fascia Transplant in rats without immunosuppression, in the short and medium term</w:t>
      </w:r>
    </w:p>
    <w:p w:rsidR="00000000" w:rsidDel="00000000" w:rsidP="00000000" w:rsidRDefault="00000000" w:rsidRPr="00000000" w14:paraId="00000002">
      <w:pPr>
        <w:rPr>
          <w:color w:val="202124"/>
          <w:sz w:val="24"/>
          <w:szCs w:val="24"/>
          <w:highlight w:val="white"/>
        </w:rPr>
      </w:pPr>
      <w:r w:rsidDel="00000000" w:rsidR="00000000" w:rsidRPr="00000000">
        <w:rPr>
          <w:rtl w:val="0"/>
        </w:rPr>
      </w:r>
    </w:p>
    <w:p w:rsidR="00000000" w:rsidDel="00000000" w:rsidP="00000000" w:rsidRDefault="00000000" w:rsidRPr="00000000" w14:paraId="00000003">
      <w:pPr>
        <w:rPr>
          <w:color w:val="202124"/>
          <w:sz w:val="24"/>
          <w:szCs w:val="24"/>
          <w:highlight w:val="white"/>
        </w:rPr>
      </w:pPr>
      <w:r w:rsidDel="00000000" w:rsidR="00000000" w:rsidRPr="00000000">
        <w:rPr>
          <w:rtl w:val="0"/>
        </w:rPr>
      </w:r>
    </w:p>
    <w:p w:rsidR="00000000" w:rsidDel="00000000" w:rsidP="00000000" w:rsidRDefault="00000000" w:rsidRPr="00000000" w14:paraId="00000004">
      <w:pPr>
        <w:spacing w:after="160" w:line="480" w:lineRule="auto"/>
        <w:jc w:val="center"/>
        <w:rPr>
          <w:b w:val="1"/>
          <w:sz w:val="20"/>
          <w:szCs w:val="20"/>
          <w:highlight w:val="white"/>
          <w:vertAlign w:val="superscript"/>
        </w:rPr>
      </w:pPr>
      <w:r w:rsidDel="00000000" w:rsidR="00000000" w:rsidRPr="00000000">
        <w:rPr>
          <w:b w:val="1"/>
          <w:sz w:val="20"/>
          <w:szCs w:val="20"/>
          <w:highlight w:val="white"/>
          <w:u w:val="single"/>
          <w:rtl w:val="0"/>
        </w:rPr>
        <w:t xml:space="preserve">Jeremías Elías Moreira</w:t>
      </w:r>
      <w:r w:rsidDel="00000000" w:rsidR="00000000" w:rsidRPr="00000000">
        <w:rPr>
          <w:b w:val="1"/>
          <w:sz w:val="20"/>
          <w:szCs w:val="20"/>
          <w:highlight w:val="white"/>
          <w:u w:val="single"/>
          <w:vertAlign w:val="superscript"/>
          <w:rtl w:val="0"/>
        </w:rPr>
        <w:t xml:space="preserve">1</w:t>
      </w:r>
      <w:r w:rsidDel="00000000" w:rsidR="00000000" w:rsidRPr="00000000">
        <w:rPr>
          <w:b w:val="1"/>
          <w:sz w:val="20"/>
          <w:szCs w:val="20"/>
          <w:highlight w:val="white"/>
          <w:rtl w:val="0"/>
        </w:rPr>
        <w:t xml:space="preserve">, Ivana Ivanoff</w:t>
      </w:r>
      <w:r w:rsidDel="00000000" w:rsidR="00000000" w:rsidRPr="00000000">
        <w:rPr>
          <w:b w:val="1"/>
          <w:sz w:val="20"/>
          <w:szCs w:val="20"/>
          <w:highlight w:val="white"/>
          <w:vertAlign w:val="superscript"/>
          <w:rtl w:val="0"/>
        </w:rPr>
        <w:t xml:space="preserve">2</w:t>
      </w:r>
      <w:r w:rsidDel="00000000" w:rsidR="00000000" w:rsidRPr="00000000">
        <w:rPr>
          <w:b w:val="1"/>
          <w:sz w:val="20"/>
          <w:szCs w:val="20"/>
          <w:highlight w:val="white"/>
          <w:rtl w:val="0"/>
        </w:rPr>
        <w:t xml:space="preserve">, Pedro Martín</w:t>
      </w:r>
      <w:r w:rsidDel="00000000" w:rsidR="00000000" w:rsidRPr="00000000">
        <w:rPr>
          <w:b w:val="1"/>
          <w:sz w:val="20"/>
          <w:szCs w:val="20"/>
          <w:highlight w:val="white"/>
          <w:vertAlign w:val="superscript"/>
          <w:rtl w:val="0"/>
        </w:rPr>
        <w:t xml:space="preserve">2</w:t>
      </w:r>
      <w:r w:rsidDel="00000000" w:rsidR="00000000" w:rsidRPr="00000000">
        <w:rPr>
          <w:b w:val="1"/>
          <w:sz w:val="20"/>
          <w:szCs w:val="20"/>
          <w:highlight w:val="white"/>
          <w:rtl w:val="0"/>
        </w:rPr>
        <w:t xml:space="preserve">, Verónica Milesi</w:t>
      </w:r>
      <w:r w:rsidDel="00000000" w:rsidR="00000000" w:rsidRPr="00000000">
        <w:rPr>
          <w:b w:val="1"/>
          <w:sz w:val="20"/>
          <w:szCs w:val="20"/>
          <w:highlight w:val="white"/>
          <w:vertAlign w:val="superscript"/>
          <w:rtl w:val="0"/>
        </w:rPr>
        <w:t xml:space="preserve">2</w:t>
      </w:r>
      <w:r w:rsidDel="00000000" w:rsidR="00000000" w:rsidRPr="00000000">
        <w:rPr>
          <w:b w:val="1"/>
          <w:sz w:val="20"/>
          <w:szCs w:val="20"/>
          <w:highlight w:val="white"/>
          <w:rtl w:val="0"/>
        </w:rPr>
        <w:t xml:space="preserve">, Pablo Stringa</w:t>
      </w:r>
      <w:r w:rsidDel="00000000" w:rsidR="00000000" w:rsidRPr="00000000">
        <w:rPr>
          <w:b w:val="1"/>
          <w:sz w:val="20"/>
          <w:szCs w:val="20"/>
          <w:highlight w:val="white"/>
          <w:vertAlign w:val="superscript"/>
          <w:rtl w:val="0"/>
        </w:rPr>
        <w:t xml:space="preserve">2,3</w:t>
      </w:r>
      <w:r w:rsidDel="00000000" w:rsidR="00000000" w:rsidRPr="00000000">
        <w:rPr>
          <w:b w:val="1"/>
          <w:sz w:val="20"/>
          <w:szCs w:val="20"/>
          <w:highlight w:val="white"/>
          <w:rtl w:val="0"/>
        </w:rPr>
        <w:t xml:space="preserve">, Constanza Arriola-Benitez</w:t>
      </w:r>
      <w:r w:rsidDel="00000000" w:rsidR="00000000" w:rsidRPr="00000000">
        <w:rPr>
          <w:b w:val="1"/>
          <w:sz w:val="20"/>
          <w:szCs w:val="20"/>
          <w:highlight w:val="white"/>
          <w:vertAlign w:val="superscript"/>
          <w:rtl w:val="0"/>
        </w:rPr>
        <w:t xml:space="preserve">1</w:t>
      </w:r>
      <w:r w:rsidDel="00000000" w:rsidR="00000000" w:rsidRPr="00000000">
        <w:rPr>
          <w:b w:val="1"/>
          <w:sz w:val="20"/>
          <w:szCs w:val="20"/>
          <w:highlight w:val="white"/>
          <w:rtl w:val="0"/>
        </w:rPr>
        <w:t xml:space="preserve">, Araceli Castro</w:t>
      </w:r>
      <w:r w:rsidDel="00000000" w:rsidR="00000000" w:rsidRPr="00000000">
        <w:rPr>
          <w:b w:val="1"/>
          <w:sz w:val="20"/>
          <w:szCs w:val="20"/>
          <w:highlight w:val="white"/>
          <w:vertAlign w:val="superscript"/>
          <w:rtl w:val="0"/>
        </w:rPr>
        <w:t xml:space="preserve">1</w:t>
      </w:r>
      <w:r w:rsidDel="00000000" w:rsidR="00000000" w:rsidRPr="00000000">
        <w:rPr>
          <w:b w:val="1"/>
          <w:sz w:val="20"/>
          <w:szCs w:val="20"/>
          <w:highlight w:val="white"/>
          <w:rtl w:val="0"/>
        </w:rPr>
        <w:t xml:space="preserve">, María Virginia Gentilini</w:t>
      </w:r>
      <w:r w:rsidDel="00000000" w:rsidR="00000000" w:rsidRPr="00000000">
        <w:rPr>
          <w:b w:val="1"/>
          <w:sz w:val="20"/>
          <w:szCs w:val="20"/>
          <w:highlight w:val="white"/>
          <w:vertAlign w:val="superscript"/>
          <w:rtl w:val="0"/>
        </w:rPr>
        <w:t xml:space="preserve">1</w:t>
      </w:r>
      <w:r w:rsidDel="00000000" w:rsidR="00000000" w:rsidRPr="00000000">
        <w:rPr>
          <w:b w:val="1"/>
          <w:sz w:val="20"/>
          <w:szCs w:val="20"/>
          <w:highlight w:val="white"/>
          <w:rtl w:val="0"/>
        </w:rPr>
        <w:t xml:space="preserve">, M</w:t>
      </w:r>
      <w:r w:rsidDel="00000000" w:rsidR="00000000" w:rsidRPr="00000000">
        <w:rPr>
          <w:b w:val="1"/>
          <w:sz w:val="20"/>
          <w:szCs w:val="20"/>
          <w:highlight w:val="white"/>
          <w:rtl w:val="0"/>
        </w:rPr>
        <w:t xml:space="preserve">artín Rumbo</w:t>
      </w:r>
      <w:r w:rsidDel="00000000" w:rsidR="00000000" w:rsidRPr="00000000">
        <w:rPr>
          <w:b w:val="1"/>
          <w:sz w:val="20"/>
          <w:szCs w:val="20"/>
          <w:highlight w:val="white"/>
          <w:vertAlign w:val="superscript"/>
          <w:rtl w:val="0"/>
        </w:rPr>
        <w:t xml:space="preserve">2</w:t>
      </w:r>
      <w:r w:rsidDel="00000000" w:rsidR="00000000" w:rsidRPr="00000000">
        <w:rPr>
          <w:b w:val="1"/>
          <w:sz w:val="20"/>
          <w:szCs w:val="20"/>
          <w:highlight w:val="white"/>
          <w:rtl w:val="0"/>
        </w:rPr>
        <w:t xml:space="preserve">, Gabriel Eduardo Gondolesi</w:t>
      </w:r>
      <w:r w:rsidDel="00000000" w:rsidR="00000000" w:rsidRPr="00000000">
        <w:rPr>
          <w:b w:val="1"/>
          <w:sz w:val="20"/>
          <w:szCs w:val="20"/>
          <w:highlight w:val="white"/>
          <w:vertAlign w:val="superscript"/>
          <w:rtl w:val="0"/>
        </w:rPr>
        <w:t xml:space="preserve"> 1,4</w:t>
      </w:r>
      <w:r w:rsidDel="00000000" w:rsidR="00000000" w:rsidRPr="00000000">
        <w:rPr>
          <w:b w:val="1"/>
          <w:sz w:val="20"/>
          <w:szCs w:val="20"/>
          <w:highlight w:val="white"/>
          <w:rtl w:val="0"/>
        </w:rPr>
        <w:t xml:space="preserve">. </w:t>
      </w: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i w:val="1"/>
          <w:color w:val="1c1d1e"/>
          <w:sz w:val="20"/>
          <w:szCs w:val="20"/>
          <w:highlight w:val="white"/>
        </w:rPr>
      </w:pPr>
      <w:r w:rsidDel="00000000" w:rsidR="00000000" w:rsidRPr="00000000">
        <w:rPr>
          <w:i w:val="1"/>
          <w:color w:val="1c1d1e"/>
          <w:sz w:val="20"/>
          <w:szCs w:val="20"/>
          <w:highlight w:val="white"/>
          <w:rtl w:val="0"/>
        </w:rPr>
        <w:t xml:space="preserve">Instituto de Medicina Traslacional, Trasplante y Bioingeniería (IMETTyB), Universidad Favaloro-CONICET; Argentina.</w:t>
      </w:r>
    </w:p>
    <w:p w:rsidR="00000000" w:rsidDel="00000000" w:rsidP="00000000" w:rsidRDefault="00000000" w:rsidRPr="00000000" w14:paraId="00000006">
      <w:pPr>
        <w:widowControl w:val="0"/>
        <w:spacing w:after="160" w:line="240" w:lineRule="auto"/>
        <w:jc w:val="both"/>
        <w:rPr>
          <w:i w:val="1"/>
          <w:color w:val="1c1d1e"/>
          <w:sz w:val="20"/>
          <w:szCs w:val="20"/>
          <w:highlight w:val="white"/>
        </w:rPr>
      </w:pPr>
      <w:r w:rsidDel="00000000" w:rsidR="00000000" w:rsidRPr="00000000">
        <w:rPr>
          <w:rtl w:val="0"/>
        </w:rPr>
      </w:r>
    </w:p>
    <w:p w:rsidR="00000000" w:rsidDel="00000000" w:rsidP="00000000" w:rsidRDefault="00000000" w:rsidRPr="00000000" w14:paraId="00000007">
      <w:pPr>
        <w:widowControl w:val="0"/>
        <w:numPr>
          <w:ilvl w:val="0"/>
          <w:numId w:val="1"/>
        </w:numPr>
        <w:spacing w:after="160" w:line="240" w:lineRule="auto"/>
        <w:ind w:left="720" w:hanging="360"/>
        <w:jc w:val="both"/>
        <w:rPr>
          <w:i w:val="1"/>
          <w:color w:val="1c1d1e"/>
          <w:sz w:val="20"/>
          <w:szCs w:val="20"/>
          <w:highlight w:val="white"/>
        </w:rPr>
      </w:pPr>
      <w:r w:rsidDel="00000000" w:rsidR="00000000" w:rsidRPr="00000000">
        <w:rPr>
          <w:i w:val="1"/>
          <w:color w:val="1c1d1e"/>
          <w:sz w:val="20"/>
          <w:szCs w:val="20"/>
          <w:highlight w:val="white"/>
          <w:rtl w:val="0"/>
        </w:rPr>
        <w:t xml:space="preserve">Instituto de Estudios Inmunológicos y Fisiopatológicos (IIFP) - CONICET -  Facultad de Ciencias Exactas, Universidad Nacional de La Plata, Argentina.</w:t>
      </w:r>
    </w:p>
    <w:p w:rsidR="00000000" w:rsidDel="00000000" w:rsidP="00000000" w:rsidRDefault="00000000" w:rsidRPr="00000000" w14:paraId="00000008">
      <w:pPr>
        <w:widowControl w:val="0"/>
        <w:spacing w:after="160" w:line="240" w:lineRule="auto"/>
        <w:ind w:left="720" w:firstLine="0"/>
        <w:jc w:val="both"/>
        <w:rPr>
          <w:i w:val="1"/>
          <w:color w:val="1c1d1e"/>
          <w:sz w:val="20"/>
          <w:szCs w:val="20"/>
          <w:highlight w:val="white"/>
        </w:rPr>
      </w:pPr>
      <w:r w:rsidDel="00000000" w:rsidR="00000000" w:rsidRPr="00000000">
        <w:rPr>
          <w:rtl w:val="0"/>
        </w:rPr>
      </w:r>
    </w:p>
    <w:p w:rsidR="00000000" w:rsidDel="00000000" w:rsidP="00000000" w:rsidRDefault="00000000" w:rsidRPr="00000000" w14:paraId="00000009">
      <w:pPr>
        <w:widowControl w:val="0"/>
        <w:numPr>
          <w:ilvl w:val="0"/>
          <w:numId w:val="1"/>
        </w:numPr>
        <w:spacing w:after="160" w:line="240" w:lineRule="auto"/>
        <w:ind w:left="720" w:hanging="360"/>
        <w:jc w:val="both"/>
        <w:rPr>
          <w:i w:val="1"/>
          <w:color w:val="1c1d1e"/>
          <w:sz w:val="20"/>
          <w:szCs w:val="20"/>
          <w:highlight w:val="white"/>
        </w:rPr>
      </w:pPr>
      <w:r w:rsidDel="00000000" w:rsidR="00000000" w:rsidRPr="00000000">
        <w:rPr>
          <w:i w:val="1"/>
          <w:color w:val="1c1d1e"/>
          <w:sz w:val="20"/>
          <w:szCs w:val="20"/>
          <w:highlight w:val="white"/>
          <w:rtl w:val="0"/>
        </w:rPr>
        <w:t xml:space="preserve">Cátedra de Trasplante, Facultad de Ciencias Médicas, Universidad Nacional de La Plata, Argentina.</w:t>
      </w:r>
    </w:p>
    <w:p w:rsidR="00000000" w:rsidDel="00000000" w:rsidP="00000000" w:rsidRDefault="00000000" w:rsidRPr="00000000" w14:paraId="0000000A">
      <w:pPr>
        <w:widowControl w:val="0"/>
        <w:spacing w:after="160" w:line="240" w:lineRule="auto"/>
        <w:jc w:val="both"/>
        <w:rPr>
          <w:i w:val="1"/>
          <w:color w:val="1c1d1e"/>
          <w:sz w:val="20"/>
          <w:szCs w:val="20"/>
          <w:highlight w:val="white"/>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jc w:val="both"/>
        <w:rPr>
          <w:i w:val="1"/>
          <w:color w:val="1c1d1e"/>
          <w:sz w:val="20"/>
          <w:szCs w:val="20"/>
          <w:highlight w:val="white"/>
        </w:rPr>
      </w:pPr>
      <w:r w:rsidDel="00000000" w:rsidR="00000000" w:rsidRPr="00000000">
        <w:rPr>
          <w:i w:val="1"/>
          <w:color w:val="1c1d1e"/>
          <w:sz w:val="20"/>
          <w:szCs w:val="20"/>
          <w:highlight w:val="white"/>
          <w:rtl w:val="0"/>
        </w:rPr>
        <w:t xml:space="preserve">Servicio de Cirugía General, Trasplante Hepático, Pancreático e Intestinal. Hospital Universitario Fundación Favaloro; Argentina. </w:t>
      </w:r>
    </w:p>
    <w:p w:rsidR="00000000" w:rsidDel="00000000" w:rsidP="00000000" w:rsidRDefault="00000000" w:rsidRPr="00000000" w14:paraId="0000000C">
      <w:pPr>
        <w:spacing w:line="276" w:lineRule="auto"/>
        <w:rPr>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480" w:lineRule="auto"/>
        <w:rPr>
          <w:highlight w:val="white"/>
        </w:rPr>
      </w:pPr>
      <w:r w:rsidDel="00000000" w:rsidR="00000000" w:rsidRPr="00000000">
        <w:rPr>
          <w:rtl w:val="0"/>
        </w:rPr>
      </w:r>
    </w:p>
    <w:p w:rsidR="00000000" w:rsidDel="00000000" w:rsidP="00000000" w:rsidRDefault="00000000" w:rsidRPr="00000000" w14:paraId="0000000F">
      <w:pPr>
        <w:spacing w:after="0" w:before="0" w:line="480" w:lineRule="auto"/>
        <w:rPr>
          <w:color w:val="202124"/>
          <w:sz w:val="24"/>
          <w:szCs w:val="24"/>
          <w:highlight w:val="white"/>
        </w:rPr>
      </w:pPr>
      <w:r w:rsidDel="00000000" w:rsidR="00000000" w:rsidRPr="00000000">
        <w:rPr>
          <w:sz w:val="24"/>
          <w:szCs w:val="24"/>
          <w:highlight w:val="white"/>
          <w:u w:val="single"/>
          <w:rtl w:val="0"/>
        </w:rPr>
        <w:t xml:space="preserve">Background:</w:t>
      </w:r>
      <w:r w:rsidDel="00000000" w:rsidR="00000000" w:rsidRPr="00000000">
        <w:rPr>
          <w:sz w:val="24"/>
          <w:szCs w:val="24"/>
          <w:highlight w:val="white"/>
          <w:rtl w:val="0"/>
        </w:rPr>
        <w:t xml:space="preserve"> </w:t>
      </w:r>
      <w:r w:rsidDel="00000000" w:rsidR="00000000" w:rsidRPr="00000000">
        <w:rPr>
          <w:color w:val="202124"/>
          <w:sz w:val="24"/>
          <w:szCs w:val="24"/>
          <w:highlight w:val="white"/>
          <w:rtl w:val="0"/>
        </w:rPr>
        <w:t xml:space="preserve">Currently, non-vascular Abdominal Rectus Fascia transplant (TxARF) is used in the clinic for primary closure of the abdominal wall. </w:t>
      </w:r>
      <w:r w:rsidDel="00000000" w:rsidR="00000000" w:rsidRPr="00000000">
        <w:rPr>
          <w:sz w:val="24"/>
          <w:szCs w:val="24"/>
          <w:highlight w:val="white"/>
          <w:rtl w:val="0"/>
        </w:rPr>
        <w:t xml:space="preserve">Since biopsies cannot be taken for study, its practice is limited to some patients on immunosuppressive treatment with abdominal organ transplantation. </w:t>
      </w:r>
      <w:r w:rsidDel="00000000" w:rsidR="00000000" w:rsidRPr="00000000">
        <w:rPr>
          <w:color w:val="202124"/>
          <w:sz w:val="24"/>
          <w:szCs w:val="24"/>
          <w:highlight w:val="white"/>
          <w:rtl w:val="0"/>
        </w:rPr>
        <w:t xml:space="preserve">Our aim was to report the immune response and outcomes at short and medium term of experimental TxARF in rats.</w:t>
      </w:r>
    </w:p>
    <w:p w:rsidR="00000000" w:rsidDel="00000000" w:rsidP="00000000" w:rsidRDefault="00000000" w:rsidRPr="00000000" w14:paraId="00000010">
      <w:pPr>
        <w:spacing w:line="480" w:lineRule="auto"/>
        <w:jc w:val="both"/>
        <w:rPr>
          <w:color w:val="202124"/>
          <w:sz w:val="24"/>
          <w:szCs w:val="24"/>
          <w:highlight w:val="white"/>
        </w:rPr>
      </w:pPr>
      <w:r w:rsidDel="00000000" w:rsidR="00000000" w:rsidRPr="00000000">
        <w:rPr>
          <w:sz w:val="24"/>
          <w:szCs w:val="24"/>
          <w:highlight w:val="white"/>
          <w:u w:val="single"/>
          <w:rtl w:val="0"/>
        </w:rPr>
        <w:t xml:space="preserve">M&amp;M</w:t>
      </w:r>
      <w:r w:rsidDel="00000000" w:rsidR="00000000" w:rsidRPr="00000000">
        <w:rPr>
          <w:sz w:val="24"/>
          <w:szCs w:val="24"/>
          <w:highlight w:val="white"/>
          <w:rtl w:val="0"/>
        </w:rPr>
        <w:t xml:space="preserve">: </w:t>
      </w:r>
      <w:r w:rsidDel="00000000" w:rsidR="00000000" w:rsidRPr="00000000">
        <w:rPr>
          <w:color w:val="202124"/>
          <w:sz w:val="24"/>
          <w:szCs w:val="24"/>
          <w:highlight w:val="white"/>
          <w:rtl w:val="0"/>
        </w:rPr>
        <w:t xml:space="preserve">34 TxARFs were performed in rats following our previous report, 32 were including; 16 Isogenic (ISO) and 16 Allogeneic (ALLO) TxARF without immunosuppression; 6 non-transplanted ARFs were taken as control group (Ct). PetScan of the graft was performed on some recipients at 30 and 120 pos-operative days (POD). Rats were sacrificed at 30 or 1</w:t>
      </w:r>
      <w:r w:rsidDel="00000000" w:rsidR="00000000" w:rsidRPr="00000000">
        <w:rPr>
          <w:color w:val="202124"/>
          <w:sz w:val="24"/>
          <w:szCs w:val="24"/>
          <w:highlight w:val="white"/>
          <w:rtl w:val="0"/>
        </w:rPr>
        <w:t xml:space="preserve">20 POD, fascia samples were taken for Masson's Trichrome, immunohistochemistry of CD3+ cells and mechanical properties studies. </w:t>
      </w:r>
      <w:r w:rsidDel="00000000" w:rsidR="00000000" w:rsidRPr="00000000">
        <w:rPr>
          <w:rFonts w:ascii="Roboto" w:cs="Roboto" w:eastAsia="Roboto" w:hAnsi="Roboto"/>
          <w:color w:val="0d0d0d"/>
          <w:sz w:val="24"/>
          <w:szCs w:val="24"/>
          <w:highlight w:val="white"/>
          <w:rtl w:val="0"/>
        </w:rPr>
        <w:t xml:space="preserve">Tissue resistance was shown as the immediate force increase from a stretching stimulus (peak force, Fig.1), measured with a Letica Scientific Instruments force transducer.</w:t>
      </w:r>
      <w:r w:rsidDel="00000000" w:rsidR="00000000" w:rsidRPr="00000000">
        <w:rPr>
          <w:color w:val="202124"/>
          <w:sz w:val="24"/>
          <w:szCs w:val="24"/>
          <w:highlight w:val="white"/>
          <w:rtl w:val="0"/>
        </w:rPr>
        <w:t xml:space="preserve"> Flow cytometry was performed to determine the relative amounts of CD4+ and CD8+ T cells, and the turnover of hematopoietic cells in the graft using GFP+ rats as recipients. The presence of Donor Specific Antibody (DSA) in serum was evaluated (Fig.2). Statistical tests of Normality and One-way ANOVA tests were used for the analysis.</w:t>
      </w:r>
    </w:p>
    <w:p w:rsidR="00000000" w:rsidDel="00000000" w:rsidP="00000000" w:rsidRDefault="00000000" w:rsidRPr="00000000" w14:paraId="00000011">
      <w:pPr>
        <w:spacing w:line="480" w:lineRule="auto"/>
        <w:jc w:val="both"/>
        <w:rPr>
          <w:color w:val="202124"/>
          <w:sz w:val="24"/>
          <w:szCs w:val="24"/>
          <w:highlight w:val="white"/>
        </w:rPr>
      </w:pPr>
      <w:r w:rsidDel="00000000" w:rsidR="00000000" w:rsidRPr="00000000">
        <w:rPr>
          <w:sz w:val="24"/>
          <w:szCs w:val="24"/>
          <w:highlight w:val="white"/>
          <w:u w:val="single"/>
          <w:rtl w:val="0"/>
        </w:rPr>
        <w:t xml:space="preserve">Results</w:t>
      </w:r>
      <w:r w:rsidDel="00000000" w:rsidR="00000000" w:rsidRPr="00000000">
        <w:rPr>
          <w:sz w:val="24"/>
          <w:szCs w:val="24"/>
          <w:highlight w:val="white"/>
          <w:rtl w:val="0"/>
        </w:rPr>
        <w:t xml:space="preserve">: The</w:t>
      </w:r>
      <w:r w:rsidDel="00000000" w:rsidR="00000000" w:rsidRPr="00000000">
        <w:rPr>
          <w:color w:val="202124"/>
          <w:sz w:val="24"/>
          <w:szCs w:val="24"/>
          <w:highlight w:val="white"/>
          <w:rtl w:val="0"/>
        </w:rPr>
        <w:t xml:space="preserve"> survival was 94.2%; 2 recipients were eviscerated and 3 ISO developed subcutaneous serum collection</w:t>
      </w:r>
      <w:r w:rsidDel="00000000" w:rsidR="00000000" w:rsidRPr="00000000">
        <w:rPr>
          <w:sz w:val="24"/>
          <w:szCs w:val="24"/>
          <w:highlight w:val="white"/>
          <w:rtl w:val="0"/>
        </w:rPr>
        <w:t xml:space="preserve">. </w:t>
      </w:r>
      <w:r w:rsidDel="00000000" w:rsidR="00000000" w:rsidRPr="00000000">
        <w:rPr>
          <w:color w:val="202124"/>
          <w:sz w:val="24"/>
          <w:szCs w:val="24"/>
          <w:highlight w:val="white"/>
          <w:rtl w:val="0"/>
        </w:rPr>
        <w:t xml:space="preserve">None of the rats presented inflammatory activity by Petscan in the graft at 30 or 120 POD. The average percentage of collagen fibers was more than 10 times higher in all groups compared to Ct </w:t>
      </w:r>
      <w:r w:rsidDel="00000000" w:rsidR="00000000" w:rsidRPr="00000000">
        <w:rPr>
          <w:sz w:val="24"/>
          <w:szCs w:val="24"/>
          <w:highlight w:val="white"/>
          <w:rtl w:val="0"/>
        </w:rPr>
        <w:t xml:space="preserve">(p&lt;0.0001)</w:t>
      </w:r>
      <w:r w:rsidDel="00000000" w:rsidR="00000000" w:rsidRPr="00000000">
        <w:rPr>
          <w:color w:val="202124"/>
          <w:sz w:val="24"/>
          <w:szCs w:val="24"/>
          <w:highlight w:val="white"/>
          <w:rtl w:val="0"/>
        </w:rPr>
        <w:t xml:space="preserve">. The average percentage of CD3+ cells at 30 POD was more than 5 times higher in ISO (21.92 </w:t>
      </w:r>
      <w:r w:rsidDel="00000000" w:rsidR="00000000" w:rsidRPr="00000000">
        <w:rPr>
          <w:color w:val="202124"/>
          <w:sz w:val="24"/>
          <w:szCs w:val="24"/>
          <w:highlight w:val="white"/>
          <w:u w:val="single"/>
          <w:rtl w:val="0"/>
        </w:rPr>
        <w:t xml:space="preserve">+</w:t>
      </w:r>
      <w:r w:rsidDel="00000000" w:rsidR="00000000" w:rsidRPr="00000000">
        <w:rPr>
          <w:color w:val="202124"/>
          <w:sz w:val="24"/>
          <w:szCs w:val="24"/>
          <w:highlight w:val="white"/>
          <w:rtl w:val="0"/>
        </w:rPr>
        <w:t xml:space="preserve"> 9.77)</w:t>
      </w:r>
      <w:r w:rsidDel="00000000" w:rsidR="00000000" w:rsidRPr="00000000">
        <w:rPr>
          <w:color w:val="202124"/>
          <w:sz w:val="24"/>
          <w:szCs w:val="24"/>
          <w:highlight w:val="white"/>
          <w:rtl w:val="0"/>
        </w:rPr>
        <w:t xml:space="preserve"> and ALLO (31.24 </w:t>
      </w:r>
      <w:r w:rsidDel="00000000" w:rsidR="00000000" w:rsidRPr="00000000">
        <w:rPr>
          <w:color w:val="202124"/>
          <w:sz w:val="24"/>
          <w:szCs w:val="24"/>
          <w:highlight w:val="white"/>
          <w:u w:val="single"/>
          <w:rtl w:val="0"/>
        </w:rPr>
        <w:t xml:space="preserve">+</w:t>
      </w:r>
      <w:r w:rsidDel="00000000" w:rsidR="00000000" w:rsidRPr="00000000">
        <w:rPr>
          <w:color w:val="202124"/>
          <w:sz w:val="24"/>
          <w:szCs w:val="24"/>
          <w:highlight w:val="white"/>
          <w:rtl w:val="0"/>
        </w:rPr>
        <w:t xml:space="preserve"> 10.81) compared to Ct (4.08 </w:t>
      </w:r>
      <w:r w:rsidDel="00000000" w:rsidR="00000000" w:rsidRPr="00000000">
        <w:rPr>
          <w:color w:val="202124"/>
          <w:sz w:val="24"/>
          <w:szCs w:val="24"/>
          <w:highlight w:val="white"/>
          <w:u w:val="single"/>
          <w:rtl w:val="0"/>
        </w:rPr>
        <w:t xml:space="preserve">+</w:t>
      </w:r>
      <w:r w:rsidDel="00000000" w:rsidR="00000000" w:rsidRPr="00000000">
        <w:rPr>
          <w:color w:val="202124"/>
          <w:sz w:val="24"/>
          <w:szCs w:val="24"/>
          <w:highlight w:val="white"/>
          <w:rtl w:val="0"/>
        </w:rPr>
        <w:t xml:space="preserve"> 0.92)</w:t>
      </w:r>
      <w:r w:rsidDel="00000000" w:rsidR="00000000" w:rsidRPr="00000000">
        <w:rPr>
          <w:color w:val="202124"/>
          <w:sz w:val="24"/>
          <w:szCs w:val="24"/>
          <w:highlight w:val="white"/>
          <w:rtl w:val="0"/>
        </w:rPr>
        <w:t xml:space="preserve">. At 120 POD, neither the ISO (7.29 </w:t>
      </w:r>
      <w:r w:rsidDel="00000000" w:rsidR="00000000" w:rsidRPr="00000000">
        <w:rPr>
          <w:color w:val="202124"/>
          <w:sz w:val="24"/>
          <w:szCs w:val="24"/>
          <w:highlight w:val="white"/>
          <w:u w:val="single"/>
          <w:rtl w:val="0"/>
        </w:rPr>
        <w:t xml:space="preserve">+</w:t>
      </w:r>
      <w:r w:rsidDel="00000000" w:rsidR="00000000" w:rsidRPr="00000000">
        <w:rPr>
          <w:color w:val="202124"/>
          <w:sz w:val="24"/>
          <w:szCs w:val="24"/>
          <w:highlight w:val="white"/>
          <w:rtl w:val="0"/>
        </w:rPr>
        <w:t xml:space="preserve"> 2.53) </w:t>
      </w:r>
      <w:r w:rsidDel="00000000" w:rsidR="00000000" w:rsidRPr="00000000">
        <w:rPr>
          <w:color w:val="202124"/>
          <w:sz w:val="24"/>
          <w:szCs w:val="24"/>
          <w:highlight w:val="white"/>
          <w:rtl w:val="0"/>
        </w:rPr>
        <w:t xml:space="preserve">nor ALLO (10.20 </w:t>
      </w:r>
      <w:r w:rsidDel="00000000" w:rsidR="00000000" w:rsidRPr="00000000">
        <w:rPr>
          <w:color w:val="202124"/>
          <w:sz w:val="24"/>
          <w:szCs w:val="24"/>
          <w:highlight w:val="white"/>
          <w:u w:val="single"/>
          <w:rtl w:val="0"/>
        </w:rPr>
        <w:t xml:space="preserve">+</w:t>
      </w:r>
      <w:r w:rsidDel="00000000" w:rsidR="00000000" w:rsidRPr="00000000">
        <w:rPr>
          <w:color w:val="202124"/>
          <w:sz w:val="24"/>
          <w:szCs w:val="24"/>
          <w:highlight w:val="white"/>
          <w:rtl w:val="0"/>
        </w:rPr>
        <w:t xml:space="preserve"> 4.15)</w:t>
      </w:r>
      <w:r w:rsidDel="00000000" w:rsidR="00000000" w:rsidRPr="00000000">
        <w:rPr>
          <w:color w:val="202124"/>
          <w:sz w:val="24"/>
          <w:szCs w:val="24"/>
          <w:highlight w:val="white"/>
          <w:rtl w:val="0"/>
        </w:rPr>
        <w:t xml:space="preserve"> had significant differences compared to Ct (Fig.1). The </w:t>
      </w:r>
      <w:r w:rsidDel="00000000" w:rsidR="00000000" w:rsidRPr="00000000">
        <w:rPr>
          <w:color w:val="202124"/>
          <w:sz w:val="24"/>
          <w:szCs w:val="24"/>
          <w:highlight w:val="white"/>
          <w:rtl w:val="0"/>
        </w:rPr>
        <w:t xml:space="preserve">tissue</w:t>
      </w:r>
      <w:r w:rsidDel="00000000" w:rsidR="00000000" w:rsidRPr="00000000">
        <w:rPr>
          <w:color w:val="202124"/>
          <w:sz w:val="24"/>
          <w:szCs w:val="24"/>
          <w:highlight w:val="white"/>
          <w:rtl w:val="0"/>
        </w:rPr>
        <w:t xml:space="preserve"> resistance behavior (at 3mm of stretching), presents a tendency to increase compared to Ct, reaching </w:t>
      </w:r>
      <w:r w:rsidDel="00000000" w:rsidR="00000000" w:rsidRPr="00000000">
        <w:rPr>
          <w:color w:val="202124"/>
          <w:sz w:val="24"/>
          <w:szCs w:val="24"/>
          <w:highlight w:val="white"/>
          <w:rtl w:val="0"/>
        </w:rPr>
        <w:t xml:space="preserve">statistical significance only</w:t>
      </w:r>
      <w:r w:rsidDel="00000000" w:rsidR="00000000" w:rsidRPr="00000000">
        <w:rPr>
          <w:color w:val="202124"/>
          <w:sz w:val="24"/>
          <w:szCs w:val="24"/>
          <w:highlight w:val="white"/>
          <w:rtl w:val="0"/>
        </w:rPr>
        <w:t xml:space="preserve"> in ALLO and ISO at 120 POD (</w:t>
      </w:r>
      <w:r w:rsidDel="00000000" w:rsidR="00000000" w:rsidRPr="00000000">
        <w:rPr>
          <w:color w:val="202124"/>
          <w:sz w:val="24"/>
          <w:szCs w:val="24"/>
          <w:highlight w:val="white"/>
          <w:rtl w:val="0"/>
        </w:rPr>
        <w:t xml:space="preserve">Kruskal-Wallis One Way Analysis of Variance on Ranks p&lt;0.05</w:t>
      </w:r>
      <w:r w:rsidDel="00000000" w:rsidR="00000000" w:rsidRPr="00000000">
        <w:rPr>
          <w:color w:val="202124"/>
          <w:sz w:val="24"/>
          <w:szCs w:val="24"/>
          <w:highlight w:val="white"/>
          <w:rtl w:val="0"/>
        </w:rPr>
        <w:t xml:space="preserve">). At 30 POD, the proportions of CD4+ and CD8+ cells were similar in all groups. The origin of these cells was mainly from the recipient; 30% of the ALLO group were positive for DSA at 30 POD.</w:t>
      </w:r>
    </w:p>
    <w:p w:rsidR="00000000" w:rsidDel="00000000" w:rsidP="00000000" w:rsidRDefault="00000000" w:rsidRPr="00000000" w14:paraId="00000012">
      <w:pPr>
        <w:spacing w:line="480" w:lineRule="auto"/>
        <w:jc w:val="both"/>
        <w:rPr>
          <w:color w:val="202124"/>
          <w:sz w:val="24"/>
          <w:szCs w:val="24"/>
          <w:highlight w:val="white"/>
        </w:rPr>
      </w:pPr>
      <w:r w:rsidDel="00000000" w:rsidR="00000000" w:rsidRPr="00000000">
        <w:rPr>
          <w:color w:val="202124"/>
          <w:sz w:val="24"/>
          <w:szCs w:val="24"/>
          <w:highlight w:val="white"/>
          <w:u w:val="single"/>
          <w:rtl w:val="0"/>
        </w:rPr>
        <w:t xml:space="preserve">Conclusion</w:t>
      </w:r>
      <w:r w:rsidDel="00000000" w:rsidR="00000000" w:rsidRPr="00000000">
        <w:rPr>
          <w:color w:val="202124"/>
          <w:sz w:val="24"/>
          <w:szCs w:val="24"/>
          <w:highlight w:val="white"/>
          <w:rtl w:val="0"/>
        </w:rPr>
        <w:t xml:space="preserve">: The increase in collagen fibers is compatible with a progressive fibrosis process that could be associated with the changes in mechanical tissue properties observed at 120 POD. However, the absence of inflammatory activity by PetScan, the low percentage of samples with DSA without immunosuppression and, the marked decrease in the percentage of CD3+ cells between 30 and 120 POD in ISO and ALLO, suggest a non-immunological origin of the fibrotic process. Although more studies are necessary, these results open the door to studying the potential usefulness of TxARF in non-transplantation.</w:t>
      </w:r>
    </w:p>
    <w:p w:rsidR="00000000" w:rsidDel="00000000" w:rsidP="00000000" w:rsidRDefault="00000000" w:rsidRPr="00000000" w14:paraId="00000013">
      <w:pPr>
        <w:spacing w:after="0" w:before="0" w:line="308.5714285714286" w:lineRule="auto"/>
        <w:rPr>
          <w:color w:val="202124"/>
          <w:sz w:val="24"/>
          <w:szCs w:val="24"/>
          <w:shd w:fill="f8f9fa" w:val="clear"/>
        </w:rPr>
      </w:pPr>
      <w:r w:rsidDel="00000000" w:rsidR="00000000" w:rsidRPr="00000000">
        <w:rPr>
          <w:rtl w:val="0"/>
        </w:rPr>
      </w:r>
    </w:p>
    <w:p w:rsidR="00000000" w:rsidDel="00000000" w:rsidP="00000000" w:rsidRDefault="00000000" w:rsidRPr="00000000" w14:paraId="00000014">
      <w:pPr>
        <w:spacing w:after="0" w:before="0" w:line="308.5714285714286" w:lineRule="auto"/>
        <w:rPr>
          <w:color w:val="202124"/>
          <w:sz w:val="24"/>
          <w:szCs w:val="24"/>
          <w:shd w:fill="f8f9fa" w:val="clear"/>
        </w:rPr>
      </w:pPr>
      <w:r w:rsidDel="00000000" w:rsidR="00000000" w:rsidRPr="00000000">
        <w:rPr>
          <w:rtl w:val="0"/>
        </w:rPr>
      </w:r>
    </w:p>
    <w:p w:rsidR="00000000" w:rsidDel="00000000" w:rsidP="00000000" w:rsidRDefault="00000000" w:rsidRPr="00000000" w14:paraId="00000015">
      <w:pPr>
        <w:rPr/>
      </w:pPr>
      <w:r w:rsidDel="00000000" w:rsidR="00000000" w:rsidRPr="00000000">
        <w:rPr/>
        <w:drawing>
          <wp:inline distB="114300" distT="114300" distL="114300" distR="114300">
            <wp:extent cx="5731200" cy="22860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jc w:val="center"/>
        <w:rPr>
          <w:color w:val="202124"/>
          <w:highlight w:val="white"/>
        </w:rPr>
      </w:pPr>
      <w:r w:rsidDel="00000000" w:rsidR="00000000" w:rsidRPr="00000000">
        <w:rPr>
          <w:rtl w:val="0"/>
        </w:rPr>
        <w:t xml:space="preserve">Fig.1: A) ***(p=0.0006), ****(p</w:t>
      </w:r>
      <w:r w:rsidDel="00000000" w:rsidR="00000000" w:rsidRPr="00000000">
        <w:rPr>
          <w:color w:val="202124"/>
          <w:highlight w:val="white"/>
          <w:rtl w:val="0"/>
        </w:rPr>
        <w:t xml:space="preserve">&lt;0.0001); B) *(p=0.0182), **(p=0.0013), ***(p=0.0003), ****(p&lt;0.0001); C) Graft stretch resistance force curves * (p&lt;0.05 vs Ct).</w:t>
      </w:r>
    </w:p>
    <w:p w:rsidR="00000000" w:rsidDel="00000000" w:rsidP="00000000" w:rsidRDefault="00000000" w:rsidRPr="00000000" w14:paraId="00000017">
      <w:pPr>
        <w:rPr>
          <w:color w:val="202124"/>
          <w:highlight w:val="whit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drawing>
          <wp:inline distB="114300" distT="114300" distL="114300" distR="114300">
            <wp:extent cx="5731200" cy="28702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Fig.2: Donor Specific Antibody (DSA): Fascia Tx (ALLO group at 30 POD), Intestinal Tx (Intestinal transplant group in rats, </w:t>
      </w:r>
      <w:r w:rsidDel="00000000" w:rsidR="00000000" w:rsidRPr="00000000">
        <w:rPr>
          <w:rtl w:val="0"/>
        </w:rPr>
        <w:t xml:space="preserve">positive control of DSA), Control (negative control of DSA).</w:t>
      </w:r>
      <w:r w:rsidDel="00000000" w:rsidR="00000000" w:rsidRPr="00000000">
        <w:rPr>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