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96A72" w14:textId="425BA4FB" w:rsidR="00A50A8B" w:rsidRDefault="00A50A8B" w:rsidP="00A50A8B">
      <w:pPr>
        <w:pStyle w:val="OMBInfo"/>
      </w:pPr>
      <w:r w:rsidRPr="008679DA">
        <w:t xml:space="preserve">OMB No. 0925-0001 and 0925-0002 (Rev. </w:t>
      </w:r>
      <w:r w:rsidR="00182189" w:rsidRPr="008679DA">
        <w:t>1</w:t>
      </w:r>
      <w:r w:rsidR="00EA029A" w:rsidRPr="008679DA">
        <w:t>0</w:t>
      </w:r>
      <w:r w:rsidR="007E6E1E" w:rsidRPr="008679DA">
        <w:t>/20</w:t>
      </w:r>
      <w:r w:rsidR="00EA029A" w:rsidRPr="008679DA">
        <w:t>21</w:t>
      </w:r>
      <w:r w:rsidR="007E6E1E" w:rsidRPr="008679DA">
        <w:t xml:space="preserve"> </w:t>
      </w:r>
      <w:r w:rsidRPr="008679DA">
        <w:t xml:space="preserve">Approved Through </w:t>
      </w:r>
      <w:r w:rsidR="00FE7A5F" w:rsidRPr="008679DA">
        <w:t>0</w:t>
      </w:r>
      <w:r w:rsidR="00F61DF6">
        <w:t>1</w:t>
      </w:r>
      <w:r w:rsidR="00FE7A5F" w:rsidRPr="008679DA">
        <w:t>/</w:t>
      </w:r>
      <w:r w:rsidR="00EA029A" w:rsidRPr="008679DA">
        <w:t>3</w:t>
      </w:r>
      <w:r w:rsidR="00F61DF6">
        <w:t>1</w:t>
      </w:r>
      <w:r w:rsidR="00FE7A5F" w:rsidRPr="008679DA">
        <w:t>/202</w:t>
      </w:r>
      <w:r w:rsidR="00F61DF6">
        <w:t>6</w:t>
      </w:r>
      <w:r w:rsidRPr="008679DA">
        <w:t>)</w:t>
      </w:r>
    </w:p>
    <w:p w14:paraId="48D07FF5" w14:textId="77777777" w:rsidR="002B7443" w:rsidRPr="006E6FB5" w:rsidRDefault="002B7443" w:rsidP="006E6FB5">
      <w:pPr>
        <w:pStyle w:val="Title"/>
      </w:pPr>
      <w:r w:rsidRPr="006E6FB5">
        <w:t>BIOGRAPHICAL SKETCH</w:t>
      </w:r>
    </w:p>
    <w:p w14:paraId="01C9B6C5" w14:textId="7EDF005C" w:rsidR="002B7443" w:rsidRPr="00F7284D" w:rsidRDefault="002B7443" w:rsidP="00F7284D">
      <w:pPr>
        <w:pStyle w:val="HeadingNote"/>
      </w:pPr>
      <w:r w:rsidRPr="00F7284D">
        <w:t>Provide the following information for the Senior/key personnel and other significant contributors.</w:t>
      </w:r>
      <w:r w:rsidRPr="00F7284D">
        <w:br w:type="textWrapping" w:clear="all"/>
        <w:t xml:space="preserve">Follow this format for each person.  </w:t>
      </w:r>
      <w:r w:rsidRPr="00656AB8">
        <w:rPr>
          <w:b/>
        </w:rPr>
        <w:t xml:space="preserve">DO NOT EXCEED </w:t>
      </w:r>
      <w:r>
        <w:rPr>
          <w:b/>
        </w:rPr>
        <w:t>FIVE</w:t>
      </w:r>
      <w:r w:rsidRPr="00656AB8">
        <w:rPr>
          <w:b/>
        </w:rPr>
        <w:t xml:space="preserve"> PAGES.</w:t>
      </w:r>
    </w:p>
    <w:p w14:paraId="4F46CDBB" w14:textId="03772CAB" w:rsidR="002B7443" w:rsidRPr="00D3779E" w:rsidRDefault="002B7443" w:rsidP="002B7443">
      <w:pPr>
        <w:pStyle w:val="FormFieldCaption1"/>
        <w:pBdr>
          <w:between w:val="single" w:sz="4" w:space="1" w:color="auto"/>
        </w:pBdr>
        <w:rPr>
          <w:sz w:val="32"/>
        </w:rPr>
      </w:pPr>
      <w:r w:rsidRPr="00D3779E">
        <w:rPr>
          <w:sz w:val="22"/>
        </w:rPr>
        <w:t>NAME:</w:t>
      </w:r>
      <w:r w:rsidR="00E03323">
        <w:rPr>
          <w:sz w:val="22"/>
        </w:rPr>
        <w:t xml:space="preserve"> </w:t>
      </w:r>
      <w:r w:rsidR="0033047B">
        <w:rPr>
          <w:sz w:val="22"/>
        </w:rPr>
        <w:t>Jonathan S. Bromberg</w:t>
      </w:r>
    </w:p>
    <w:p w14:paraId="7FFF41C1" w14:textId="3A2D1A8D" w:rsidR="002B7443" w:rsidRPr="00D3779E" w:rsidRDefault="00E047AD" w:rsidP="002B7443">
      <w:pPr>
        <w:pStyle w:val="FormFieldCaption1"/>
        <w:pBdr>
          <w:between w:val="single" w:sz="4" w:space="1" w:color="auto"/>
        </w:pBdr>
        <w:rPr>
          <w:sz w:val="32"/>
        </w:rPr>
      </w:pPr>
      <w:r w:rsidRPr="00D3779E">
        <w:rPr>
          <w:sz w:val="22"/>
        </w:rPr>
        <w:t xml:space="preserve">eRA COMMONS </w:t>
      </w:r>
      <w:proofErr w:type="gramStart"/>
      <w:r w:rsidRPr="00D3779E">
        <w:rPr>
          <w:sz w:val="22"/>
        </w:rPr>
        <w:t>USER NAME</w:t>
      </w:r>
      <w:proofErr w:type="gramEnd"/>
      <w:r w:rsidRPr="00D3779E">
        <w:rPr>
          <w:sz w:val="22"/>
        </w:rPr>
        <w:t xml:space="preserve"> (credential, e.g., agency login)</w:t>
      </w:r>
      <w:r w:rsidR="002B7443" w:rsidRPr="00D3779E">
        <w:rPr>
          <w:sz w:val="22"/>
        </w:rPr>
        <w:t>:</w:t>
      </w:r>
      <w:r w:rsidR="00E03323">
        <w:rPr>
          <w:sz w:val="22"/>
        </w:rPr>
        <w:t xml:space="preserve"> </w:t>
      </w:r>
      <w:r w:rsidR="0033047B">
        <w:rPr>
          <w:sz w:val="22"/>
        </w:rPr>
        <w:t>JONBROMBERG</w:t>
      </w:r>
    </w:p>
    <w:p w14:paraId="74873D9A" w14:textId="49C6B61D" w:rsidR="002B7443" w:rsidRPr="00D3779E" w:rsidRDefault="00E047AD" w:rsidP="002B7443">
      <w:pPr>
        <w:pStyle w:val="FormFieldCaption1"/>
        <w:pBdr>
          <w:between w:val="single" w:sz="4" w:space="1" w:color="auto"/>
        </w:pBdr>
        <w:rPr>
          <w:sz w:val="32"/>
        </w:rPr>
      </w:pPr>
      <w:r w:rsidRPr="00D3779E">
        <w:rPr>
          <w:sz w:val="22"/>
        </w:rPr>
        <w:t>POSITION TITLE</w:t>
      </w:r>
      <w:r w:rsidR="002B7443" w:rsidRPr="00D3779E">
        <w:rPr>
          <w:sz w:val="22"/>
        </w:rPr>
        <w:t>:</w:t>
      </w:r>
      <w:r w:rsidR="0033047B">
        <w:rPr>
          <w:sz w:val="22"/>
        </w:rPr>
        <w:t xml:space="preserve"> Professor of Surgery and Microbiology and Immunology; Vice Chair for Research</w:t>
      </w:r>
    </w:p>
    <w:p w14:paraId="035344DF" w14:textId="571DC801" w:rsidR="002B7443" w:rsidRPr="00D3779E" w:rsidRDefault="002B7443" w:rsidP="002B7443">
      <w:pPr>
        <w:pStyle w:val="FormFieldCaption1"/>
        <w:pBdr>
          <w:between w:val="single" w:sz="4" w:space="1" w:color="auto"/>
        </w:pBdr>
        <w:rPr>
          <w:sz w:val="22"/>
        </w:rPr>
      </w:pPr>
      <w:r w:rsidRPr="00D3779E">
        <w:rPr>
          <w:sz w:val="22"/>
        </w:rPr>
        <w:t xml:space="preserve">EDUCATION/TRAINING </w:t>
      </w:r>
      <w:r w:rsidRPr="00D3779E">
        <w:rPr>
          <w:rStyle w:val="Emphasis"/>
          <w:sz w:val="22"/>
        </w:rPr>
        <w:t>(Begin with baccalaureate or other initial professional education, such as nursing, include postdoctoral training and residency training if applicable.</w:t>
      </w:r>
      <w:r w:rsidR="00C1247F" w:rsidRPr="00D3779E">
        <w:rPr>
          <w:rStyle w:val="Emphasis"/>
          <w:sz w:val="22"/>
        </w:rPr>
        <w:t xml:space="preserve"> Add/delete rows as necessary.</w:t>
      </w:r>
      <w:r w:rsidRPr="00D3779E">
        <w:rPr>
          <w:rStyle w:val="Emphasis"/>
          <w:sz w:val="22"/>
        </w:rPr>
        <w:t>)</w:t>
      </w:r>
    </w:p>
    <w:tbl>
      <w:tblPr>
        <w:tblStyle w:val="TableGrid"/>
        <w:tblW w:w="10836"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220"/>
        <w:gridCol w:w="1440"/>
        <w:gridCol w:w="1584"/>
        <w:gridCol w:w="2592"/>
      </w:tblGrid>
      <w:tr w:rsidR="00933173" w:rsidRPr="00D3779E" w14:paraId="21BBC1F3" w14:textId="77777777" w:rsidTr="005F0B12">
        <w:trPr>
          <w:cantSplit/>
          <w:tblHeader/>
        </w:trPr>
        <w:tc>
          <w:tcPr>
            <w:tcW w:w="5220" w:type="dxa"/>
            <w:tcBorders>
              <w:top w:val="single" w:sz="4" w:space="0" w:color="auto"/>
              <w:bottom w:val="single" w:sz="4" w:space="0" w:color="auto"/>
            </w:tcBorders>
            <w:vAlign w:val="center"/>
          </w:tcPr>
          <w:p w14:paraId="5DCFDE41" w14:textId="77777777" w:rsidR="00933173" w:rsidRPr="00D3779E" w:rsidRDefault="00933173" w:rsidP="000B5732">
            <w:pPr>
              <w:pStyle w:val="FormFieldCaption"/>
              <w:jc w:val="center"/>
              <w:rPr>
                <w:sz w:val="22"/>
              </w:rPr>
            </w:pPr>
            <w:r w:rsidRPr="00D3779E">
              <w:rPr>
                <w:sz w:val="22"/>
              </w:rPr>
              <w:t>INSTITUTION AND LOCATION</w:t>
            </w:r>
          </w:p>
        </w:tc>
        <w:tc>
          <w:tcPr>
            <w:tcW w:w="1440" w:type="dxa"/>
            <w:tcBorders>
              <w:top w:val="single" w:sz="4" w:space="0" w:color="auto"/>
              <w:bottom w:val="single" w:sz="4" w:space="0" w:color="auto"/>
            </w:tcBorders>
            <w:vAlign w:val="center"/>
          </w:tcPr>
          <w:p w14:paraId="0A8E3E0E" w14:textId="77777777" w:rsidR="00933173" w:rsidRPr="00D3779E" w:rsidRDefault="00933173" w:rsidP="000B5732">
            <w:pPr>
              <w:pStyle w:val="FormFieldCaption"/>
              <w:jc w:val="center"/>
              <w:rPr>
                <w:sz w:val="22"/>
              </w:rPr>
            </w:pPr>
            <w:r w:rsidRPr="00D3779E">
              <w:rPr>
                <w:sz w:val="22"/>
              </w:rPr>
              <w:t>DEGREE</w:t>
            </w:r>
          </w:p>
          <w:p w14:paraId="0DEF5BC8" w14:textId="77777777" w:rsidR="00933173" w:rsidRPr="00D3779E" w:rsidRDefault="00933173" w:rsidP="000B5732">
            <w:pPr>
              <w:pStyle w:val="FormFieldCaption"/>
              <w:jc w:val="center"/>
              <w:rPr>
                <w:rStyle w:val="Emphasis"/>
                <w:sz w:val="22"/>
              </w:rPr>
            </w:pPr>
            <w:r w:rsidRPr="00D3779E">
              <w:rPr>
                <w:rStyle w:val="Emphasis"/>
                <w:sz w:val="22"/>
              </w:rPr>
              <w:t>(</w:t>
            </w:r>
            <w:proofErr w:type="gramStart"/>
            <w:r w:rsidRPr="00D3779E">
              <w:rPr>
                <w:rStyle w:val="Emphasis"/>
                <w:sz w:val="22"/>
              </w:rPr>
              <w:t>if</w:t>
            </w:r>
            <w:proofErr w:type="gramEnd"/>
            <w:r w:rsidRPr="00D3779E">
              <w:rPr>
                <w:rStyle w:val="Emphasis"/>
                <w:sz w:val="22"/>
              </w:rPr>
              <w:t xml:space="preserve"> applicable)</w:t>
            </w:r>
          </w:p>
          <w:p w14:paraId="32A0C014" w14:textId="77777777" w:rsidR="00933173" w:rsidRPr="00D3779E" w:rsidRDefault="00933173" w:rsidP="000B5732">
            <w:pPr>
              <w:pStyle w:val="FormFieldCaption"/>
              <w:rPr>
                <w:sz w:val="22"/>
              </w:rPr>
            </w:pPr>
          </w:p>
        </w:tc>
        <w:tc>
          <w:tcPr>
            <w:tcW w:w="1584" w:type="dxa"/>
            <w:tcBorders>
              <w:top w:val="single" w:sz="4" w:space="0" w:color="auto"/>
              <w:bottom w:val="single" w:sz="4" w:space="0" w:color="auto"/>
            </w:tcBorders>
            <w:vAlign w:val="center"/>
          </w:tcPr>
          <w:p w14:paraId="4ED3B33F" w14:textId="77777777" w:rsidR="00C1247F" w:rsidRPr="00D3779E" w:rsidRDefault="00C1247F" w:rsidP="000B5732">
            <w:pPr>
              <w:pStyle w:val="FormFieldCaption"/>
              <w:jc w:val="center"/>
              <w:rPr>
                <w:sz w:val="22"/>
              </w:rPr>
            </w:pPr>
            <w:r w:rsidRPr="00D3779E">
              <w:rPr>
                <w:sz w:val="22"/>
              </w:rPr>
              <w:t>Completion Date</w:t>
            </w:r>
          </w:p>
          <w:p w14:paraId="76B4E15A" w14:textId="09B57E40" w:rsidR="00933173" w:rsidRPr="00D3779E" w:rsidRDefault="00933173" w:rsidP="000B5732">
            <w:pPr>
              <w:pStyle w:val="FormFieldCaption"/>
              <w:jc w:val="center"/>
              <w:rPr>
                <w:sz w:val="22"/>
              </w:rPr>
            </w:pPr>
            <w:r w:rsidRPr="00D3779E">
              <w:rPr>
                <w:sz w:val="22"/>
              </w:rPr>
              <w:t>MM/YYYY</w:t>
            </w:r>
          </w:p>
          <w:p w14:paraId="143620A6" w14:textId="77777777" w:rsidR="00933173" w:rsidRPr="00D3779E" w:rsidRDefault="00933173" w:rsidP="000B5732">
            <w:pPr>
              <w:pStyle w:val="FormFieldCaption"/>
              <w:rPr>
                <w:sz w:val="22"/>
              </w:rPr>
            </w:pPr>
          </w:p>
        </w:tc>
        <w:tc>
          <w:tcPr>
            <w:tcW w:w="2592" w:type="dxa"/>
            <w:tcBorders>
              <w:top w:val="single" w:sz="4" w:space="0" w:color="auto"/>
              <w:bottom w:val="single" w:sz="4" w:space="0" w:color="auto"/>
            </w:tcBorders>
            <w:vAlign w:val="center"/>
          </w:tcPr>
          <w:p w14:paraId="7E87FA43" w14:textId="77777777" w:rsidR="00933173" w:rsidRPr="00D3779E" w:rsidRDefault="00933173" w:rsidP="000B5732">
            <w:pPr>
              <w:pStyle w:val="FormFieldCaption"/>
              <w:jc w:val="center"/>
              <w:rPr>
                <w:sz w:val="22"/>
              </w:rPr>
            </w:pPr>
            <w:r w:rsidRPr="00D3779E">
              <w:rPr>
                <w:sz w:val="22"/>
              </w:rPr>
              <w:t>FIELD OF STUDY</w:t>
            </w:r>
          </w:p>
          <w:p w14:paraId="4198E5FC" w14:textId="77777777" w:rsidR="00933173" w:rsidRPr="00D3779E" w:rsidRDefault="00933173" w:rsidP="000B5732">
            <w:pPr>
              <w:pStyle w:val="FormFieldCaption"/>
              <w:rPr>
                <w:sz w:val="22"/>
              </w:rPr>
            </w:pPr>
          </w:p>
        </w:tc>
      </w:tr>
      <w:tr w:rsidR="00933173" w:rsidRPr="00D3779E" w14:paraId="5CD50646" w14:textId="77777777" w:rsidTr="005F0B12">
        <w:trPr>
          <w:cantSplit/>
          <w:trHeight w:val="395"/>
        </w:trPr>
        <w:tc>
          <w:tcPr>
            <w:tcW w:w="5220" w:type="dxa"/>
            <w:tcBorders>
              <w:top w:val="single" w:sz="4" w:space="0" w:color="auto"/>
            </w:tcBorders>
          </w:tcPr>
          <w:p w14:paraId="7A705CE1" w14:textId="77777777" w:rsidR="0033047B" w:rsidRPr="001A53A9" w:rsidRDefault="0033047B" w:rsidP="0033047B">
            <w:pPr>
              <w:pStyle w:val="FormFieldCaption"/>
              <w:spacing w:before="20" w:after="20"/>
              <w:rPr>
                <w:sz w:val="22"/>
                <w:szCs w:val="22"/>
              </w:rPr>
            </w:pPr>
            <w:r w:rsidRPr="001A53A9">
              <w:rPr>
                <w:sz w:val="22"/>
                <w:szCs w:val="22"/>
              </w:rPr>
              <w:t>Harvard College, Cambridge, MA</w:t>
            </w:r>
          </w:p>
          <w:p w14:paraId="43A822AB" w14:textId="77777777" w:rsidR="0033047B" w:rsidRPr="001A53A9" w:rsidRDefault="0033047B" w:rsidP="0033047B">
            <w:pPr>
              <w:pStyle w:val="FormFieldCaption"/>
              <w:spacing w:before="20" w:after="20"/>
              <w:rPr>
                <w:sz w:val="22"/>
                <w:szCs w:val="22"/>
              </w:rPr>
            </w:pPr>
            <w:r w:rsidRPr="001A53A9">
              <w:rPr>
                <w:sz w:val="22"/>
                <w:szCs w:val="22"/>
              </w:rPr>
              <w:t>Harvard Medical School, Boston, MA</w:t>
            </w:r>
          </w:p>
          <w:p w14:paraId="3B0C531B" w14:textId="2446C893" w:rsidR="00933173" w:rsidRPr="00977FA5" w:rsidRDefault="0033047B" w:rsidP="0033047B">
            <w:pPr>
              <w:pStyle w:val="FormFieldCaption"/>
              <w:spacing w:before="20" w:after="20"/>
              <w:rPr>
                <w:sz w:val="22"/>
                <w:szCs w:val="22"/>
              </w:rPr>
            </w:pPr>
            <w:r w:rsidRPr="001A53A9">
              <w:rPr>
                <w:sz w:val="22"/>
                <w:szCs w:val="22"/>
              </w:rPr>
              <w:t>Harvard Graduate School of Arts and Sciences</w:t>
            </w:r>
          </w:p>
        </w:tc>
        <w:tc>
          <w:tcPr>
            <w:tcW w:w="1440" w:type="dxa"/>
            <w:tcBorders>
              <w:top w:val="single" w:sz="4" w:space="0" w:color="auto"/>
            </w:tcBorders>
          </w:tcPr>
          <w:p w14:paraId="7ED9CE45" w14:textId="77777777" w:rsidR="0033047B" w:rsidRPr="001A53A9" w:rsidRDefault="0033047B" w:rsidP="0033047B">
            <w:pPr>
              <w:pStyle w:val="FormFieldCaption"/>
              <w:spacing w:before="20" w:after="20"/>
              <w:rPr>
                <w:sz w:val="22"/>
                <w:szCs w:val="22"/>
              </w:rPr>
            </w:pPr>
            <w:r w:rsidRPr="001A53A9">
              <w:rPr>
                <w:sz w:val="22"/>
                <w:szCs w:val="22"/>
              </w:rPr>
              <w:t>A.B.</w:t>
            </w:r>
          </w:p>
          <w:p w14:paraId="04CB3C55" w14:textId="77777777" w:rsidR="0033047B" w:rsidRPr="001A53A9" w:rsidRDefault="0033047B" w:rsidP="0033047B">
            <w:pPr>
              <w:pStyle w:val="FormFieldCaption"/>
              <w:spacing w:before="20" w:after="20"/>
              <w:rPr>
                <w:sz w:val="22"/>
                <w:szCs w:val="22"/>
              </w:rPr>
            </w:pPr>
            <w:r w:rsidRPr="001A53A9">
              <w:rPr>
                <w:sz w:val="22"/>
                <w:szCs w:val="22"/>
              </w:rPr>
              <w:t>M.D.</w:t>
            </w:r>
          </w:p>
          <w:p w14:paraId="62DD05C1" w14:textId="03D647BF" w:rsidR="00933173" w:rsidRPr="00977FA5" w:rsidRDefault="0033047B" w:rsidP="0033047B">
            <w:pPr>
              <w:pStyle w:val="FormFieldCaption"/>
              <w:spacing w:before="20" w:after="20"/>
              <w:rPr>
                <w:sz w:val="22"/>
                <w:szCs w:val="22"/>
              </w:rPr>
            </w:pPr>
            <w:r w:rsidRPr="001A53A9">
              <w:rPr>
                <w:sz w:val="22"/>
                <w:szCs w:val="22"/>
              </w:rPr>
              <w:t>Ph. D.</w:t>
            </w:r>
          </w:p>
        </w:tc>
        <w:tc>
          <w:tcPr>
            <w:tcW w:w="1584" w:type="dxa"/>
            <w:tcBorders>
              <w:top w:val="single" w:sz="4" w:space="0" w:color="auto"/>
            </w:tcBorders>
          </w:tcPr>
          <w:p w14:paraId="18F1E22F" w14:textId="77777777" w:rsidR="0033047B" w:rsidRPr="001A53A9" w:rsidRDefault="0033047B" w:rsidP="0033047B">
            <w:pPr>
              <w:pStyle w:val="FormFieldCaption"/>
              <w:spacing w:before="20" w:after="20"/>
              <w:rPr>
                <w:sz w:val="22"/>
                <w:szCs w:val="22"/>
              </w:rPr>
            </w:pPr>
            <w:r>
              <w:rPr>
                <w:sz w:val="22"/>
                <w:szCs w:val="22"/>
              </w:rPr>
              <w:t>06/</w:t>
            </w:r>
            <w:r w:rsidRPr="001A53A9">
              <w:rPr>
                <w:sz w:val="22"/>
                <w:szCs w:val="22"/>
              </w:rPr>
              <w:t>1977</w:t>
            </w:r>
          </w:p>
          <w:p w14:paraId="127EF2EE" w14:textId="77777777" w:rsidR="0033047B" w:rsidRPr="001A53A9" w:rsidRDefault="0033047B" w:rsidP="0033047B">
            <w:pPr>
              <w:pStyle w:val="FormFieldCaption"/>
              <w:spacing w:before="20" w:after="20"/>
              <w:rPr>
                <w:sz w:val="22"/>
                <w:szCs w:val="22"/>
              </w:rPr>
            </w:pPr>
            <w:r>
              <w:rPr>
                <w:sz w:val="22"/>
                <w:szCs w:val="22"/>
              </w:rPr>
              <w:t>06/</w:t>
            </w:r>
            <w:r w:rsidRPr="001A53A9">
              <w:rPr>
                <w:sz w:val="22"/>
                <w:szCs w:val="22"/>
              </w:rPr>
              <w:t>1983</w:t>
            </w:r>
          </w:p>
          <w:p w14:paraId="543299E0" w14:textId="2B3A3D60" w:rsidR="00933173" w:rsidRPr="00977FA5" w:rsidRDefault="0033047B" w:rsidP="0033047B">
            <w:pPr>
              <w:pStyle w:val="FormFieldCaption"/>
              <w:spacing w:before="20" w:after="20"/>
              <w:rPr>
                <w:sz w:val="22"/>
                <w:szCs w:val="22"/>
              </w:rPr>
            </w:pPr>
            <w:r>
              <w:rPr>
                <w:sz w:val="22"/>
                <w:szCs w:val="22"/>
              </w:rPr>
              <w:t>06/</w:t>
            </w:r>
            <w:r w:rsidRPr="001A53A9">
              <w:rPr>
                <w:sz w:val="22"/>
                <w:szCs w:val="22"/>
              </w:rPr>
              <w:t>1983</w:t>
            </w:r>
          </w:p>
        </w:tc>
        <w:tc>
          <w:tcPr>
            <w:tcW w:w="2592" w:type="dxa"/>
            <w:tcBorders>
              <w:top w:val="single" w:sz="4" w:space="0" w:color="auto"/>
            </w:tcBorders>
          </w:tcPr>
          <w:p w14:paraId="07B0C7C1" w14:textId="77777777" w:rsidR="0033047B" w:rsidRPr="001A53A9" w:rsidRDefault="0033047B" w:rsidP="0033047B">
            <w:pPr>
              <w:pStyle w:val="FormFieldCaption"/>
              <w:spacing w:before="20" w:after="20"/>
              <w:rPr>
                <w:sz w:val="22"/>
                <w:szCs w:val="22"/>
              </w:rPr>
            </w:pPr>
            <w:r w:rsidRPr="001A53A9">
              <w:rPr>
                <w:sz w:val="22"/>
                <w:szCs w:val="22"/>
              </w:rPr>
              <w:t>Biology</w:t>
            </w:r>
          </w:p>
          <w:p w14:paraId="23EBDB4E" w14:textId="77777777" w:rsidR="0033047B" w:rsidRPr="001A53A9" w:rsidRDefault="0033047B" w:rsidP="0033047B">
            <w:pPr>
              <w:pStyle w:val="FormFieldCaption"/>
              <w:spacing w:before="20" w:after="20"/>
              <w:rPr>
                <w:sz w:val="22"/>
                <w:szCs w:val="22"/>
              </w:rPr>
            </w:pPr>
            <w:r w:rsidRPr="001A53A9">
              <w:rPr>
                <w:sz w:val="22"/>
                <w:szCs w:val="22"/>
              </w:rPr>
              <w:t>Medicine</w:t>
            </w:r>
          </w:p>
          <w:p w14:paraId="7BC5582F" w14:textId="2A490EE9" w:rsidR="00933173" w:rsidRPr="00977FA5" w:rsidRDefault="0033047B" w:rsidP="0033047B">
            <w:pPr>
              <w:pStyle w:val="FormFieldCaption"/>
              <w:spacing w:before="20" w:after="20"/>
              <w:rPr>
                <w:sz w:val="22"/>
                <w:szCs w:val="22"/>
              </w:rPr>
            </w:pPr>
            <w:r w:rsidRPr="001A53A9">
              <w:rPr>
                <w:sz w:val="22"/>
                <w:szCs w:val="22"/>
              </w:rPr>
              <w:t>Immunobiology</w:t>
            </w:r>
          </w:p>
        </w:tc>
      </w:tr>
    </w:tbl>
    <w:p w14:paraId="6FC868BE" w14:textId="735E875D" w:rsidR="009E52CA" w:rsidRDefault="009E52CA">
      <w:pPr>
        <w:pStyle w:val="DataField11pt-Single"/>
      </w:pPr>
    </w:p>
    <w:p w14:paraId="4603FEE3" w14:textId="77777777" w:rsidR="0033047B" w:rsidRDefault="002C51BC" w:rsidP="0033047B">
      <w:pPr>
        <w:tabs>
          <w:tab w:val="left" w:pos="720"/>
          <w:tab w:val="left" w:pos="1620"/>
        </w:tabs>
        <w:rPr>
          <w:rStyle w:val="Strong"/>
        </w:rPr>
      </w:pPr>
      <w:r w:rsidRPr="00A128A0">
        <w:rPr>
          <w:rStyle w:val="Strong"/>
        </w:rPr>
        <w:t>A.</w:t>
      </w:r>
      <w:r w:rsidRPr="00A128A0">
        <w:rPr>
          <w:rStyle w:val="Strong"/>
        </w:rPr>
        <w:tab/>
        <w:t>Personal Statement</w:t>
      </w:r>
    </w:p>
    <w:p w14:paraId="36A14480" w14:textId="47870628" w:rsidR="0033047B" w:rsidRDefault="0033047B" w:rsidP="005B7EFB">
      <w:pPr>
        <w:tabs>
          <w:tab w:val="left" w:pos="720"/>
          <w:tab w:val="left" w:pos="1620"/>
        </w:tabs>
        <w:spacing w:after="120"/>
        <w:jc w:val="both"/>
        <w:rPr>
          <w:rFonts w:cs="Arial"/>
          <w:szCs w:val="22"/>
        </w:rPr>
      </w:pPr>
      <w:r w:rsidRPr="001A53A9">
        <w:rPr>
          <w:rFonts w:cs="Arial"/>
          <w:szCs w:val="22"/>
        </w:rPr>
        <w:t xml:space="preserve">I have been involved continuously in basic cellular and molecular transplant immunology for </w:t>
      </w:r>
      <w:r>
        <w:rPr>
          <w:rFonts w:cs="Arial"/>
          <w:szCs w:val="22"/>
        </w:rPr>
        <w:t>30</w:t>
      </w:r>
      <w:r w:rsidRPr="001A53A9">
        <w:rPr>
          <w:rFonts w:cs="Arial"/>
          <w:szCs w:val="22"/>
        </w:rPr>
        <w:t xml:space="preserve"> years and have been continuously funded for the entire time. My basic research has always focused on T cell immunobiology, and for more than </w:t>
      </w:r>
      <w:r>
        <w:rPr>
          <w:rFonts w:cs="Arial"/>
          <w:szCs w:val="22"/>
        </w:rPr>
        <w:t>20</w:t>
      </w:r>
      <w:r w:rsidRPr="001A53A9">
        <w:rPr>
          <w:rFonts w:cs="Arial"/>
          <w:szCs w:val="22"/>
        </w:rPr>
        <w:t xml:space="preserve"> years has also focused on issues of migration, trafficking, secondary lymphoid organ structure and function, and lymphatic structure and function, and how these processes and structures influence T cell immunity and T cell tolerance in models of transplantation. I have also maintained an active clinical practice in solid organ transplantation and am thus constantly exposed to the problems of patients and their immune systems, including cellular and humoral rejection, opportunistic infections, chronic viral disease, autoimmune organ failure, and immunosuppression medication side effects. </w:t>
      </w:r>
      <w:r>
        <w:rPr>
          <w:rFonts w:cs="Arial"/>
          <w:szCs w:val="22"/>
        </w:rPr>
        <w:t>I have had over 60 trainees in my lab, am actively involved in teaching and mentoring, and have served on T32 faculty.</w:t>
      </w:r>
    </w:p>
    <w:p w14:paraId="2D8AC88A" w14:textId="0C53220F" w:rsidR="0033047B" w:rsidRPr="00125E91" w:rsidRDefault="0033047B" w:rsidP="0033047B">
      <w:pPr>
        <w:tabs>
          <w:tab w:val="right" w:pos="10512"/>
          <w:tab w:val="right" w:pos="10800"/>
        </w:tabs>
        <w:jc w:val="both"/>
        <w:rPr>
          <w:rFonts w:cs="Arial"/>
          <w:b/>
          <w:noProof/>
          <w:szCs w:val="22"/>
          <w:u w:val="single"/>
        </w:rPr>
      </w:pPr>
      <w:r>
        <w:rPr>
          <w:rFonts w:cs="Arial"/>
          <w:b/>
          <w:noProof/>
          <w:szCs w:val="22"/>
          <w:u w:val="single"/>
        </w:rPr>
        <w:t xml:space="preserve">Ongoing </w:t>
      </w:r>
      <w:r w:rsidR="00F17EB9">
        <w:rPr>
          <w:rFonts w:cs="Arial"/>
          <w:b/>
          <w:noProof/>
          <w:szCs w:val="22"/>
          <w:u w:val="single"/>
        </w:rPr>
        <w:t xml:space="preserve">and Completed </w:t>
      </w:r>
      <w:r>
        <w:rPr>
          <w:rFonts w:cs="Arial"/>
          <w:b/>
          <w:noProof/>
          <w:szCs w:val="22"/>
          <w:u w:val="single"/>
        </w:rPr>
        <w:t>Research Support</w:t>
      </w:r>
    </w:p>
    <w:p w14:paraId="403C130D" w14:textId="75C6068F" w:rsidR="0033047B" w:rsidRDefault="0033047B" w:rsidP="0033047B">
      <w:pPr>
        <w:tabs>
          <w:tab w:val="right" w:pos="10800"/>
        </w:tabs>
        <w:jc w:val="both"/>
      </w:pPr>
      <w:r>
        <w:t>5</w:t>
      </w:r>
      <w:r w:rsidRPr="00765564">
        <w:t xml:space="preserve"> U01 DK116095</w:t>
      </w:r>
      <w:r>
        <w:t>-0</w:t>
      </w:r>
      <w:r w:rsidR="00BE088B">
        <w:t>6</w:t>
      </w:r>
      <w:r>
        <w:t xml:space="preserve"> (Bromberg)</w:t>
      </w:r>
      <w:r>
        <w:tab/>
        <w:t xml:space="preserve">     </w:t>
      </w:r>
      <w:r w:rsidR="000353AE" w:rsidRPr="000353AE">
        <w:t>07/01/23-05/31/28</w:t>
      </w:r>
    </w:p>
    <w:p w14:paraId="5BB3A70C" w14:textId="4EBD988F" w:rsidR="0033047B" w:rsidRDefault="00BE088B" w:rsidP="0033047B">
      <w:pPr>
        <w:tabs>
          <w:tab w:val="right" w:pos="10512"/>
          <w:tab w:val="right" w:pos="10800"/>
        </w:tabs>
        <w:jc w:val="both"/>
      </w:pPr>
      <w:r w:rsidRPr="00BE088B">
        <w:rPr>
          <w:b/>
          <w:bCs/>
        </w:rPr>
        <w:t>Trans-omics Analysis of African American Deceased Donor Kidneys for Transplant Outcomes</w:t>
      </w:r>
    </w:p>
    <w:p w14:paraId="161C6296" w14:textId="23AFE1BB" w:rsidR="0033047B" w:rsidRPr="00297387" w:rsidRDefault="00A61712" w:rsidP="0033047B">
      <w:pPr>
        <w:tabs>
          <w:tab w:val="right" w:pos="10512"/>
          <w:tab w:val="right" w:pos="10800"/>
        </w:tabs>
        <w:spacing w:after="120"/>
        <w:jc w:val="both"/>
        <w:rPr>
          <w:rFonts w:cs="Arial"/>
          <w:szCs w:val="22"/>
          <w:shd w:val="clear" w:color="auto" w:fill="FFFFFF"/>
        </w:rPr>
      </w:pPr>
      <w:r w:rsidRPr="00A61712">
        <w:rPr>
          <w:rFonts w:cs="Arial"/>
          <w:szCs w:val="22"/>
          <w:shd w:val="clear" w:color="auto" w:fill="FFFFFF"/>
        </w:rPr>
        <w:t xml:space="preserve">The goals of the project are: Aim 1. To prospectively collect long-term follow-up data on all APOLLO participants. Aim 2. To provide detailed clinical data and biospecimens on APOLLO participants from our </w:t>
      </w:r>
      <w:r>
        <w:rPr>
          <w:rFonts w:cs="Arial"/>
          <w:szCs w:val="22"/>
          <w:shd w:val="clear" w:color="auto" w:fill="FFFFFF"/>
        </w:rPr>
        <w:t>Clinical Center</w:t>
      </w:r>
      <w:r w:rsidRPr="00A61712">
        <w:rPr>
          <w:rFonts w:cs="Arial"/>
          <w:szCs w:val="22"/>
          <w:shd w:val="clear" w:color="auto" w:fill="FFFFFF"/>
        </w:rPr>
        <w:t>. Aim 3. To facilitate return of APOL1 genotype results.</w:t>
      </w:r>
    </w:p>
    <w:p w14:paraId="320649C0" w14:textId="7E6F85A1" w:rsidR="0033047B" w:rsidRDefault="0033047B" w:rsidP="0033047B">
      <w:pPr>
        <w:jc w:val="both"/>
        <w:rPr>
          <w:rFonts w:cs="Arial"/>
          <w:noProof/>
          <w:szCs w:val="22"/>
        </w:rPr>
      </w:pPr>
      <w:r>
        <w:rPr>
          <w:rFonts w:cs="Arial"/>
          <w:noProof/>
          <w:szCs w:val="22"/>
        </w:rPr>
        <w:t xml:space="preserve">5 </w:t>
      </w:r>
      <w:r w:rsidRPr="00123083">
        <w:rPr>
          <w:rFonts w:cs="Arial"/>
          <w:noProof/>
          <w:szCs w:val="22"/>
        </w:rPr>
        <w:t>R01 EB027143</w:t>
      </w:r>
      <w:r w:rsidR="00F17EB9">
        <w:rPr>
          <w:rFonts w:cs="Arial"/>
          <w:noProof/>
          <w:szCs w:val="22"/>
        </w:rPr>
        <w:t>4</w:t>
      </w:r>
      <w:r>
        <w:rPr>
          <w:rFonts w:cs="Arial"/>
          <w:noProof/>
          <w:szCs w:val="22"/>
        </w:rPr>
        <w:t xml:space="preserve"> (Jewell) </w:t>
      </w:r>
      <w:r>
        <w:rPr>
          <w:rFonts w:cs="Arial"/>
          <w:noProof/>
          <w:szCs w:val="22"/>
        </w:rPr>
        <w:tab/>
      </w:r>
      <w:r>
        <w:rPr>
          <w:rFonts w:cs="Arial"/>
          <w:noProof/>
          <w:szCs w:val="22"/>
        </w:rPr>
        <w:tab/>
      </w:r>
      <w:r>
        <w:rPr>
          <w:rFonts w:cs="Arial"/>
          <w:noProof/>
          <w:szCs w:val="22"/>
        </w:rPr>
        <w:tab/>
      </w:r>
      <w:r>
        <w:rPr>
          <w:rFonts w:cs="Arial"/>
          <w:noProof/>
          <w:szCs w:val="22"/>
        </w:rPr>
        <w:tab/>
      </w:r>
      <w:r>
        <w:rPr>
          <w:rFonts w:cs="Arial"/>
          <w:noProof/>
          <w:szCs w:val="22"/>
        </w:rPr>
        <w:tab/>
      </w:r>
      <w:r>
        <w:rPr>
          <w:rFonts w:cs="Arial"/>
          <w:noProof/>
          <w:szCs w:val="22"/>
        </w:rPr>
        <w:tab/>
      </w:r>
      <w:r>
        <w:rPr>
          <w:rFonts w:cs="Arial"/>
          <w:noProof/>
          <w:szCs w:val="22"/>
        </w:rPr>
        <w:tab/>
      </w:r>
      <w:r>
        <w:rPr>
          <w:rFonts w:cs="Arial"/>
          <w:noProof/>
          <w:szCs w:val="22"/>
        </w:rPr>
        <w:tab/>
      </w:r>
      <w:r>
        <w:rPr>
          <w:rFonts w:cs="Arial"/>
          <w:noProof/>
          <w:szCs w:val="22"/>
        </w:rPr>
        <w:tab/>
      </w:r>
      <w:r>
        <w:rPr>
          <w:rFonts w:cs="Arial"/>
          <w:noProof/>
          <w:szCs w:val="22"/>
        </w:rPr>
        <w:tab/>
      </w:r>
      <w:r>
        <w:rPr>
          <w:rFonts w:cs="Arial"/>
          <w:noProof/>
          <w:szCs w:val="22"/>
        </w:rPr>
        <w:tab/>
      </w:r>
      <w:r>
        <w:rPr>
          <w:rFonts w:cs="Arial"/>
          <w:noProof/>
          <w:szCs w:val="22"/>
        </w:rPr>
        <w:tab/>
      </w:r>
      <w:r>
        <w:rPr>
          <w:rFonts w:cs="Arial"/>
          <w:noProof/>
          <w:szCs w:val="22"/>
        </w:rPr>
        <w:tab/>
      </w:r>
      <w:r>
        <w:rPr>
          <w:rFonts w:cs="Arial"/>
          <w:noProof/>
          <w:szCs w:val="22"/>
        </w:rPr>
        <w:tab/>
      </w:r>
      <w:r>
        <w:rPr>
          <w:rFonts w:cs="Arial"/>
          <w:noProof/>
          <w:szCs w:val="22"/>
        </w:rPr>
        <w:tab/>
      </w:r>
      <w:r>
        <w:rPr>
          <w:rFonts w:cs="Arial"/>
          <w:noProof/>
          <w:szCs w:val="22"/>
        </w:rPr>
        <w:tab/>
        <w:t xml:space="preserve">    03/15/2019-11</w:t>
      </w:r>
      <w:r w:rsidRPr="00123083">
        <w:rPr>
          <w:rFonts w:cs="Arial"/>
          <w:noProof/>
          <w:szCs w:val="22"/>
        </w:rPr>
        <w:t>/3</w:t>
      </w:r>
      <w:r>
        <w:rPr>
          <w:rFonts w:cs="Arial"/>
          <w:noProof/>
          <w:szCs w:val="22"/>
        </w:rPr>
        <w:t>0</w:t>
      </w:r>
      <w:r w:rsidRPr="00123083">
        <w:rPr>
          <w:rFonts w:cs="Arial"/>
          <w:noProof/>
          <w:szCs w:val="22"/>
        </w:rPr>
        <w:t>/</w:t>
      </w:r>
      <w:r>
        <w:rPr>
          <w:rFonts w:cs="Arial"/>
          <w:noProof/>
          <w:szCs w:val="22"/>
        </w:rPr>
        <w:t>20</w:t>
      </w:r>
      <w:r w:rsidRPr="00123083">
        <w:rPr>
          <w:rFonts w:cs="Arial"/>
          <w:noProof/>
          <w:szCs w:val="22"/>
        </w:rPr>
        <w:t>2</w:t>
      </w:r>
      <w:r>
        <w:rPr>
          <w:rFonts w:cs="Arial"/>
          <w:noProof/>
          <w:szCs w:val="22"/>
        </w:rPr>
        <w:t xml:space="preserve">2 </w:t>
      </w:r>
      <w:r w:rsidRPr="00ED722D">
        <w:rPr>
          <w:rFonts w:cs="Arial"/>
          <w:b/>
          <w:bCs/>
          <w:noProof/>
          <w:szCs w:val="22"/>
        </w:rPr>
        <w:t>Programming immune function through modular assembly of polyionic immune signals</w:t>
      </w:r>
    </w:p>
    <w:p w14:paraId="36481E98" w14:textId="686D4E0F" w:rsidR="0033047B" w:rsidRDefault="0033047B" w:rsidP="0033047B">
      <w:pPr>
        <w:spacing w:after="120"/>
        <w:jc w:val="both"/>
        <w:rPr>
          <w:rFonts w:cs="Arial"/>
          <w:noProof/>
          <w:szCs w:val="22"/>
        </w:rPr>
      </w:pPr>
      <w:r w:rsidRPr="00123083">
        <w:rPr>
          <w:rFonts w:cs="Arial"/>
          <w:noProof/>
          <w:szCs w:val="22"/>
        </w:rPr>
        <w:t>The goal of this project is to use self-assembly of immune signals for programmable activation of defined combinations of stimulatory immune pathways to enhance adjuvant function.</w:t>
      </w:r>
    </w:p>
    <w:p w14:paraId="07CA90E1" w14:textId="01B4FD24" w:rsidR="0033047B" w:rsidRDefault="0033047B" w:rsidP="0033047B">
      <w:pPr>
        <w:spacing w:after="120"/>
        <w:jc w:val="both"/>
        <w:rPr>
          <w:rFonts w:cs="Arial"/>
          <w:noProof/>
          <w:szCs w:val="22"/>
        </w:rPr>
      </w:pPr>
      <w:r>
        <w:rPr>
          <w:rFonts w:cs="Arial"/>
          <w:noProof/>
          <w:szCs w:val="22"/>
        </w:rPr>
        <w:t xml:space="preserve">5 </w:t>
      </w:r>
      <w:r w:rsidRPr="00123083">
        <w:rPr>
          <w:rFonts w:cs="Arial"/>
          <w:noProof/>
          <w:szCs w:val="22"/>
        </w:rPr>
        <w:t>R01 AI144667</w:t>
      </w:r>
      <w:r>
        <w:rPr>
          <w:rFonts w:cs="Arial"/>
          <w:noProof/>
          <w:szCs w:val="22"/>
        </w:rPr>
        <w:t>-0</w:t>
      </w:r>
      <w:r w:rsidR="00F17EB9">
        <w:rPr>
          <w:rFonts w:cs="Arial"/>
          <w:noProof/>
          <w:szCs w:val="22"/>
        </w:rPr>
        <w:t>4</w:t>
      </w:r>
      <w:r>
        <w:rPr>
          <w:rFonts w:cs="Arial"/>
          <w:noProof/>
          <w:szCs w:val="22"/>
        </w:rPr>
        <w:t xml:space="preserve"> (Jewell) </w:t>
      </w:r>
      <w:r w:rsidRPr="00123083">
        <w:rPr>
          <w:rFonts w:cs="Arial"/>
          <w:noProof/>
          <w:szCs w:val="22"/>
        </w:rPr>
        <w:t xml:space="preserve"> </w:t>
      </w:r>
      <w:r>
        <w:rPr>
          <w:rFonts w:cs="Arial"/>
          <w:noProof/>
          <w:szCs w:val="22"/>
        </w:rPr>
        <w:tab/>
      </w:r>
      <w:r>
        <w:rPr>
          <w:rFonts w:cs="Arial"/>
          <w:noProof/>
          <w:szCs w:val="22"/>
        </w:rPr>
        <w:tab/>
      </w:r>
      <w:r>
        <w:rPr>
          <w:rFonts w:cs="Arial"/>
          <w:noProof/>
          <w:szCs w:val="22"/>
        </w:rPr>
        <w:tab/>
      </w:r>
      <w:r>
        <w:rPr>
          <w:rFonts w:cs="Arial"/>
          <w:noProof/>
          <w:szCs w:val="22"/>
        </w:rPr>
        <w:tab/>
      </w:r>
      <w:r>
        <w:rPr>
          <w:rFonts w:cs="Arial"/>
          <w:noProof/>
          <w:szCs w:val="22"/>
        </w:rPr>
        <w:tab/>
      </w:r>
      <w:r>
        <w:rPr>
          <w:rFonts w:cs="Arial"/>
          <w:noProof/>
          <w:szCs w:val="22"/>
        </w:rPr>
        <w:tab/>
      </w:r>
      <w:r>
        <w:rPr>
          <w:rFonts w:cs="Arial"/>
          <w:noProof/>
          <w:szCs w:val="22"/>
        </w:rPr>
        <w:tab/>
      </w:r>
      <w:r>
        <w:rPr>
          <w:rFonts w:cs="Arial"/>
          <w:noProof/>
          <w:szCs w:val="22"/>
        </w:rPr>
        <w:tab/>
      </w:r>
      <w:r>
        <w:rPr>
          <w:rFonts w:cs="Arial"/>
          <w:noProof/>
          <w:szCs w:val="22"/>
        </w:rPr>
        <w:tab/>
      </w:r>
      <w:r>
        <w:rPr>
          <w:rFonts w:cs="Arial"/>
          <w:noProof/>
          <w:szCs w:val="22"/>
        </w:rPr>
        <w:tab/>
      </w:r>
      <w:r>
        <w:rPr>
          <w:rFonts w:cs="Arial"/>
          <w:noProof/>
          <w:szCs w:val="22"/>
        </w:rPr>
        <w:tab/>
      </w:r>
      <w:r>
        <w:rPr>
          <w:rFonts w:cs="Arial"/>
          <w:noProof/>
          <w:szCs w:val="22"/>
        </w:rPr>
        <w:tab/>
      </w:r>
      <w:r>
        <w:rPr>
          <w:rFonts w:cs="Arial"/>
          <w:noProof/>
          <w:szCs w:val="22"/>
        </w:rPr>
        <w:tab/>
      </w:r>
      <w:r>
        <w:rPr>
          <w:rFonts w:cs="Arial"/>
          <w:noProof/>
          <w:szCs w:val="22"/>
        </w:rPr>
        <w:tab/>
      </w:r>
      <w:r>
        <w:rPr>
          <w:rFonts w:cs="Arial"/>
          <w:noProof/>
          <w:szCs w:val="22"/>
        </w:rPr>
        <w:tab/>
      </w:r>
      <w:r>
        <w:rPr>
          <w:rFonts w:cs="Arial"/>
          <w:noProof/>
          <w:szCs w:val="22"/>
        </w:rPr>
        <w:tab/>
        <w:t xml:space="preserve">    06/17</w:t>
      </w:r>
      <w:r w:rsidRPr="00123083">
        <w:rPr>
          <w:rFonts w:cs="Arial"/>
          <w:noProof/>
          <w:szCs w:val="22"/>
        </w:rPr>
        <w:t>/</w:t>
      </w:r>
      <w:r>
        <w:rPr>
          <w:rFonts w:cs="Arial"/>
          <w:noProof/>
          <w:szCs w:val="22"/>
        </w:rPr>
        <w:t>20</w:t>
      </w:r>
      <w:r w:rsidRPr="00123083">
        <w:rPr>
          <w:rFonts w:cs="Arial"/>
          <w:noProof/>
          <w:szCs w:val="22"/>
        </w:rPr>
        <w:t>19</w:t>
      </w:r>
      <w:r>
        <w:rPr>
          <w:rFonts w:cs="Arial"/>
          <w:noProof/>
          <w:szCs w:val="22"/>
        </w:rPr>
        <w:t>-0</w:t>
      </w:r>
      <w:r w:rsidR="00F17EB9">
        <w:rPr>
          <w:rFonts w:cs="Arial"/>
          <w:noProof/>
          <w:szCs w:val="22"/>
        </w:rPr>
        <w:t>5</w:t>
      </w:r>
      <w:r w:rsidRPr="00123083">
        <w:rPr>
          <w:rFonts w:cs="Arial"/>
          <w:noProof/>
          <w:szCs w:val="22"/>
        </w:rPr>
        <w:t>/31/</w:t>
      </w:r>
      <w:r>
        <w:rPr>
          <w:rFonts w:cs="Arial"/>
          <w:noProof/>
          <w:szCs w:val="22"/>
        </w:rPr>
        <w:t>20</w:t>
      </w:r>
      <w:r w:rsidRPr="00123083">
        <w:rPr>
          <w:rFonts w:cs="Arial"/>
          <w:noProof/>
          <w:szCs w:val="22"/>
        </w:rPr>
        <w:t>2</w:t>
      </w:r>
      <w:r w:rsidR="0091231A">
        <w:rPr>
          <w:rFonts w:cs="Arial"/>
          <w:noProof/>
          <w:szCs w:val="22"/>
        </w:rPr>
        <w:t>4</w:t>
      </w:r>
      <w:r>
        <w:rPr>
          <w:rFonts w:cs="Arial"/>
          <w:noProof/>
          <w:szCs w:val="22"/>
        </w:rPr>
        <w:t xml:space="preserve"> </w:t>
      </w:r>
      <w:r w:rsidRPr="00ED722D">
        <w:rPr>
          <w:rFonts w:cs="Arial"/>
          <w:b/>
          <w:bCs/>
          <w:noProof/>
          <w:szCs w:val="22"/>
        </w:rPr>
        <w:t xml:space="preserve">Improving multiple sclerosis patient quality of life using microneedle patches </w:t>
      </w:r>
      <w:r>
        <w:rPr>
          <w:rFonts w:cs="Arial"/>
          <w:b/>
          <w:bCs/>
          <w:noProof/>
          <w:szCs w:val="22"/>
        </w:rPr>
        <w:t>for</w:t>
      </w:r>
      <w:r w:rsidRPr="00ED722D">
        <w:rPr>
          <w:rFonts w:cs="Arial"/>
          <w:b/>
          <w:bCs/>
          <w:noProof/>
          <w:szCs w:val="22"/>
        </w:rPr>
        <w:t xml:space="preserve"> delivery of MS drugs</w:t>
      </w:r>
      <w:r>
        <w:rPr>
          <w:rFonts w:cs="Arial"/>
          <w:noProof/>
          <w:szCs w:val="22"/>
        </w:rPr>
        <w:t xml:space="preserve"> </w:t>
      </w:r>
      <w:r w:rsidRPr="00123083">
        <w:rPr>
          <w:rFonts w:cs="Arial"/>
          <w:noProof/>
          <w:szCs w:val="22"/>
        </w:rPr>
        <w:t>The goal of this project is to build easily-administered patches from existing human multiple sclerosis drugs to enable patients with reduced motor skills to effectively self-administered MS drugs.</w:t>
      </w:r>
    </w:p>
    <w:p w14:paraId="0124AB2F" w14:textId="382C2389" w:rsidR="0033047B" w:rsidRPr="009C3C43" w:rsidRDefault="0033047B" w:rsidP="0033047B">
      <w:pPr>
        <w:jc w:val="both"/>
        <w:rPr>
          <w:rFonts w:cs="Arial"/>
          <w:b/>
          <w:bCs/>
          <w:noProof/>
          <w:szCs w:val="22"/>
        </w:rPr>
      </w:pPr>
      <w:r>
        <w:rPr>
          <w:rFonts w:cs="Arial"/>
          <w:noProof/>
          <w:szCs w:val="22"/>
        </w:rPr>
        <w:t>5</w:t>
      </w:r>
      <w:r w:rsidRPr="00123083">
        <w:rPr>
          <w:rFonts w:cs="Arial"/>
          <w:noProof/>
          <w:szCs w:val="22"/>
        </w:rPr>
        <w:t xml:space="preserve"> R01 HL148672</w:t>
      </w:r>
      <w:r w:rsidR="00F17EB9">
        <w:rPr>
          <w:rFonts w:cs="Arial"/>
          <w:noProof/>
          <w:szCs w:val="22"/>
        </w:rPr>
        <w:t>4</w:t>
      </w:r>
      <w:r>
        <w:rPr>
          <w:rFonts w:cs="Arial"/>
          <w:noProof/>
          <w:szCs w:val="22"/>
        </w:rPr>
        <w:t xml:space="preserve"> (</w:t>
      </w:r>
      <w:r w:rsidRPr="00123083">
        <w:rPr>
          <w:rFonts w:cs="Arial"/>
          <w:noProof/>
          <w:szCs w:val="22"/>
        </w:rPr>
        <w:t>Bromberg</w:t>
      </w:r>
      <w:r>
        <w:rPr>
          <w:rFonts w:cs="Arial"/>
          <w:noProof/>
          <w:szCs w:val="22"/>
        </w:rPr>
        <w:t xml:space="preserve">)  </w:t>
      </w:r>
      <w:r>
        <w:rPr>
          <w:rFonts w:cs="Arial"/>
          <w:noProof/>
          <w:szCs w:val="22"/>
        </w:rPr>
        <w:tab/>
      </w:r>
      <w:r>
        <w:rPr>
          <w:rFonts w:cs="Arial"/>
          <w:noProof/>
          <w:szCs w:val="22"/>
        </w:rPr>
        <w:tab/>
      </w:r>
      <w:r>
        <w:rPr>
          <w:rFonts w:cs="Arial"/>
          <w:noProof/>
          <w:szCs w:val="22"/>
        </w:rPr>
        <w:tab/>
      </w:r>
      <w:r>
        <w:rPr>
          <w:rFonts w:cs="Arial"/>
          <w:noProof/>
          <w:szCs w:val="22"/>
        </w:rPr>
        <w:tab/>
      </w:r>
      <w:r>
        <w:rPr>
          <w:rFonts w:cs="Arial"/>
          <w:noProof/>
          <w:szCs w:val="22"/>
        </w:rPr>
        <w:tab/>
      </w:r>
      <w:r>
        <w:rPr>
          <w:rFonts w:cs="Arial"/>
          <w:noProof/>
          <w:szCs w:val="22"/>
        </w:rPr>
        <w:tab/>
      </w:r>
      <w:r>
        <w:rPr>
          <w:rFonts w:cs="Arial"/>
          <w:noProof/>
          <w:szCs w:val="22"/>
        </w:rPr>
        <w:tab/>
      </w:r>
      <w:r>
        <w:rPr>
          <w:rFonts w:cs="Arial"/>
          <w:noProof/>
          <w:szCs w:val="22"/>
        </w:rPr>
        <w:tab/>
      </w:r>
      <w:r>
        <w:rPr>
          <w:rFonts w:cs="Arial"/>
          <w:noProof/>
          <w:szCs w:val="22"/>
        </w:rPr>
        <w:tab/>
      </w:r>
      <w:r>
        <w:rPr>
          <w:rFonts w:cs="Arial"/>
          <w:noProof/>
          <w:szCs w:val="22"/>
        </w:rPr>
        <w:tab/>
      </w:r>
      <w:r>
        <w:rPr>
          <w:rFonts w:cs="Arial"/>
          <w:noProof/>
          <w:szCs w:val="22"/>
        </w:rPr>
        <w:tab/>
      </w:r>
      <w:r>
        <w:rPr>
          <w:rFonts w:cs="Arial"/>
          <w:noProof/>
          <w:szCs w:val="22"/>
        </w:rPr>
        <w:tab/>
      </w:r>
      <w:r>
        <w:rPr>
          <w:rFonts w:cs="Arial"/>
          <w:noProof/>
          <w:szCs w:val="22"/>
        </w:rPr>
        <w:tab/>
      </w:r>
      <w:r>
        <w:rPr>
          <w:rFonts w:cs="Arial"/>
          <w:noProof/>
          <w:szCs w:val="22"/>
        </w:rPr>
        <w:tab/>
        <w:t xml:space="preserve">    </w:t>
      </w:r>
      <w:r w:rsidR="00FC193E">
        <w:rPr>
          <w:rFonts w:cs="Arial"/>
          <w:noProof/>
          <w:szCs w:val="22"/>
        </w:rPr>
        <w:t xml:space="preserve">     </w:t>
      </w:r>
      <w:r>
        <w:rPr>
          <w:rFonts w:cs="Arial"/>
          <w:noProof/>
          <w:szCs w:val="22"/>
        </w:rPr>
        <w:t>0</w:t>
      </w:r>
      <w:r w:rsidRPr="00123083">
        <w:rPr>
          <w:rFonts w:cs="Arial"/>
          <w:noProof/>
          <w:szCs w:val="22"/>
        </w:rPr>
        <w:t>7/1</w:t>
      </w:r>
      <w:r>
        <w:rPr>
          <w:rFonts w:cs="Arial"/>
          <w:noProof/>
          <w:szCs w:val="22"/>
        </w:rPr>
        <w:t>5</w:t>
      </w:r>
      <w:r w:rsidRPr="00123083">
        <w:rPr>
          <w:rFonts w:cs="Arial"/>
          <w:noProof/>
          <w:szCs w:val="22"/>
        </w:rPr>
        <w:t>/</w:t>
      </w:r>
      <w:r>
        <w:rPr>
          <w:rFonts w:cs="Arial"/>
          <w:noProof/>
          <w:szCs w:val="22"/>
        </w:rPr>
        <w:t>20</w:t>
      </w:r>
      <w:r w:rsidRPr="00123083">
        <w:rPr>
          <w:rFonts w:cs="Arial"/>
          <w:noProof/>
          <w:szCs w:val="22"/>
        </w:rPr>
        <w:t>19-</w:t>
      </w:r>
      <w:r>
        <w:rPr>
          <w:rFonts w:cs="Arial"/>
          <w:noProof/>
          <w:szCs w:val="22"/>
        </w:rPr>
        <w:t xml:space="preserve">06/30/2023 </w:t>
      </w:r>
      <w:r w:rsidRPr="009C3C43">
        <w:rPr>
          <w:rFonts w:cs="Arial"/>
          <w:b/>
          <w:bCs/>
          <w:noProof/>
          <w:szCs w:val="22"/>
        </w:rPr>
        <w:t>Immunological and functional consequences triggered by the gut microbiota regulate alloimmunity and cardiac transplant outcomes</w:t>
      </w:r>
    </w:p>
    <w:p w14:paraId="76C7DA53" w14:textId="77777777" w:rsidR="0033047B" w:rsidRDefault="0033047B" w:rsidP="0033047B">
      <w:pPr>
        <w:spacing w:after="120"/>
        <w:jc w:val="both"/>
        <w:rPr>
          <w:rFonts w:cs="Arial"/>
          <w:szCs w:val="22"/>
          <w:shd w:val="clear" w:color="auto" w:fill="FFFFFF"/>
        </w:rPr>
      </w:pPr>
      <w:r>
        <w:rPr>
          <w:rFonts w:cs="Arial"/>
          <w:szCs w:val="22"/>
          <w:shd w:val="clear" w:color="auto" w:fill="FFFFFF"/>
        </w:rPr>
        <w:t>This proposal</w:t>
      </w:r>
      <w:r w:rsidRPr="00737393">
        <w:rPr>
          <w:rFonts w:cs="Arial"/>
          <w:szCs w:val="22"/>
          <w:shd w:val="clear" w:color="auto" w:fill="FFFFFF"/>
        </w:rPr>
        <w:t xml:space="preserve"> will take advantage of our expertise in microbiota analysis and in molecular and cellular transplant immunology. The definition of pro-inflammatory and anti-inflammatory microbiota and strains may provide a precise platform to define the most important upstream influences that initiate organ inflammation and scarring and could serve as potent diagnostic markers for allograft management.</w:t>
      </w:r>
    </w:p>
    <w:p w14:paraId="6C0FA174" w14:textId="34E110E8" w:rsidR="0033047B" w:rsidRPr="00DF0153" w:rsidRDefault="0033047B" w:rsidP="0033047B">
      <w:pPr>
        <w:jc w:val="both"/>
        <w:rPr>
          <w:rFonts w:cs="Arial"/>
          <w:b/>
          <w:bCs/>
          <w:noProof/>
          <w:szCs w:val="22"/>
        </w:rPr>
      </w:pPr>
      <w:r>
        <w:rPr>
          <w:rFonts w:cs="Arial"/>
          <w:noProof/>
          <w:szCs w:val="22"/>
        </w:rPr>
        <w:lastRenderedPageBreak/>
        <w:t>2</w:t>
      </w:r>
      <w:r w:rsidRPr="00150B53">
        <w:rPr>
          <w:rFonts w:cs="Arial"/>
          <w:noProof/>
          <w:szCs w:val="22"/>
        </w:rPr>
        <w:t xml:space="preserve"> R01 AI114496</w:t>
      </w:r>
      <w:r>
        <w:rPr>
          <w:rFonts w:cs="Arial"/>
          <w:noProof/>
          <w:szCs w:val="22"/>
        </w:rPr>
        <w:t>-06A1 (</w:t>
      </w:r>
      <w:r w:rsidRPr="00150B53">
        <w:rPr>
          <w:rFonts w:cs="Arial"/>
          <w:noProof/>
          <w:szCs w:val="22"/>
        </w:rPr>
        <w:t>Bromberg</w:t>
      </w:r>
      <w:r>
        <w:rPr>
          <w:rFonts w:cs="Arial"/>
          <w:noProof/>
          <w:szCs w:val="22"/>
        </w:rPr>
        <w:t xml:space="preserve">) </w:t>
      </w:r>
      <w:r w:rsidRPr="00150B53">
        <w:rPr>
          <w:rFonts w:cs="Arial"/>
          <w:noProof/>
          <w:szCs w:val="22"/>
        </w:rPr>
        <w:t xml:space="preserve"> </w:t>
      </w:r>
      <w:r>
        <w:rPr>
          <w:rFonts w:cs="Arial"/>
          <w:noProof/>
          <w:szCs w:val="22"/>
        </w:rPr>
        <w:tab/>
      </w:r>
      <w:r>
        <w:rPr>
          <w:rFonts w:cs="Arial"/>
          <w:noProof/>
          <w:szCs w:val="22"/>
        </w:rPr>
        <w:tab/>
      </w:r>
      <w:r>
        <w:rPr>
          <w:rFonts w:cs="Arial"/>
          <w:noProof/>
          <w:szCs w:val="22"/>
        </w:rPr>
        <w:tab/>
      </w:r>
      <w:r>
        <w:rPr>
          <w:rFonts w:cs="Arial"/>
          <w:noProof/>
          <w:szCs w:val="22"/>
        </w:rPr>
        <w:tab/>
      </w:r>
      <w:r>
        <w:rPr>
          <w:rFonts w:cs="Arial"/>
          <w:noProof/>
          <w:szCs w:val="22"/>
        </w:rPr>
        <w:tab/>
      </w:r>
      <w:r>
        <w:rPr>
          <w:rFonts w:cs="Arial"/>
          <w:noProof/>
          <w:szCs w:val="22"/>
        </w:rPr>
        <w:tab/>
      </w:r>
      <w:r>
        <w:rPr>
          <w:rFonts w:cs="Arial"/>
          <w:noProof/>
          <w:szCs w:val="22"/>
        </w:rPr>
        <w:tab/>
      </w:r>
      <w:r>
        <w:rPr>
          <w:rFonts w:cs="Arial"/>
          <w:noProof/>
          <w:szCs w:val="22"/>
        </w:rPr>
        <w:tab/>
      </w:r>
      <w:r>
        <w:rPr>
          <w:rFonts w:cs="Arial"/>
          <w:noProof/>
          <w:szCs w:val="22"/>
        </w:rPr>
        <w:tab/>
      </w:r>
      <w:r>
        <w:rPr>
          <w:rFonts w:cs="Arial"/>
          <w:noProof/>
          <w:szCs w:val="22"/>
        </w:rPr>
        <w:tab/>
      </w:r>
      <w:r>
        <w:rPr>
          <w:rFonts w:cs="Arial"/>
          <w:noProof/>
          <w:szCs w:val="22"/>
        </w:rPr>
        <w:tab/>
      </w:r>
      <w:r>
        <w:rPr>
          <w:rFonts w:cs="Arial"/>
          <w:noProof/>
          <w:szCs w:val="22"/>
        </w:rPr>
        <w:tab/>
      </w:r>
      <w:r>
        <w:rPr>
          <w:rFonts w:cs="Arial"/>
          <w:noProof/>
          <w:szCs w:val="22"/>
        </w:rPr>
        <w:tab/>
      </w:r>
      <w:r>
        <w:rPr>
          <w:rFonts w:cs="Arial"/>
          <w:noProof/>
          <w:szCs w:val="22"/>
        </w:rPr>
        <w:tab/>
        <w:t xml:space="preserve">    04</w:t>
      </w:r>
      <w:r w:rsidRPr="00150B53">
        <w:rPr>
          <w:rFonts w:cs="Arial"/>
          <w:noProof/>
          <w:szCs w:val="22"/>
        </w:rPr>
        <w:t>/</w:t>
      </w:r>
      <w:r>
        <w:rPr>
          <w:rFonts w:cs="Arial"/>
          <w:noProof/>
          <w:szCs w:val="22"/>
        </w:rPr>
        <w:t>20</w:t>
      </w:r>
      <w:r w:rsidRPr="00150B53">
        <w:rPr>
          <w:rFonts w:cs="Arial"/>
          <w:noProof/>
          <w:szCs w:val="22"/>
        </w:rPr>
        <w:t>/</w:t>
      </w:r>
      <w:r>
        <w:rPr>
          <w:rFonts w:cs="Arial"/>
          <w:noProof/>
          <w:szCs w:val="22"/>
        </w:rPr>
        <w:t>2015</w:t>
      </w:r>
      <w:r w:rsidRPr="00150B53">
        <w:rPr>
          <w:rFonts w:cs="Arial"/>
          <w:noProof/>
          <w:szCs w:val="22"/>
        </w:rPr>
        <w:t>-</w:t>
      </w:r>
      <w:r>
        <w:rPr>
          <w:rFonts w:cs="Arial"/>
          <w:noProof/>
          <w:szCs w:val="22"/>
        </w:rPr>
        <w:t>05</w:t>
      </w:r>
      <w:r w:rsidRPr="00150B53">
        <w:rPr>
          <w:rFonts w:cs="Arial"/>
          <w:noProof/>
          <w:szCs w:val="22"/>
        </w:rPr>
        <w:t>/31/</w:t>
      </w:r>
      <w:r>
        <w:rPr>
          <w:rFonts w:cs="Arial"/>
          <w:noProof/>
          <w:szCs w:val="22"/>
        </w:rPr>
        <w:t>20</w:t>
      </w:r>
      <w:r w:rsidRPr="00150B53">
        <w:rPr>
          <w:rFonts w:cs="Arial"/>
          <w:noProof/>
          <w:szCs w:val="22"/>
        </w:rPr>
        <w:t>2</w:t>
      </w:r>
      <w:r>
        <w:rPr>
          <w:rFonts w:cs="Arial"/>
          <w:noProof/>
          <w:szCs w:val="22"/>
        </w:rPr>
        <w:t>5</w:t>
      </w:r>
      <w:r w:rsidRPr="00150B53">
        <w:rPr>
          <w:rFonts w:cs="Arial"/>
          <w:noProof/>
          <w:szCs w:val="22"/>
        </w:rPr>
        <w:t xml:space="preserve"> </w:t>
      </w:r>
      <w:r w:rsidRPr="00DF0153">
        <w:rPr>
          <w:rFonts w:cs="Arial"/>
          <w:b/>
          <w:bCs/>
          <w:noProof/>
          <w:szCs w:val="22"/>
        </w:rPr>
        <w:t>Lymph Node Structure and Function in Tolerance: Role of Laminins</w:t>
      </w:r>
    </w:p>
    <w:p w14:paraId="2EB1DBE6" w14:textId="77777777" w:rsidR="0033047B" w:rsidRDefault="0033047B" w:rsidP="0033047B">
      <w:pPr>
        <w:spacing w:after="120"/>
        <w:jc w:val="both"/>
        <w:rPr>
          <w:rFonts w:cs="Arial"/>
          <w:noProof/>
          <w:szCs w:val="22"/>
        </w:rPr>
      </w:pPr>
      <w:r>
        <w:rPr>
          <w:rFonts w:cs="Arial"/>
          <w:noProof/>
          <w:szCs w:val="22"/>
        </w:rPr>
        <w:t>This project will d</w:t>
      </w:r>
      <w:r w:rsidRPr="00571AFA">
        <w:rPr>
          <w:rFonts w:cs="Arial"/>
          <w:noProof/>
          <w:szCs w:val="22"/>
        </w:rPr>
        <w:t>emonstrate that pro-inflammatory LN structures accentuate transplant rejection</w:t>
      </w:r>
      <w:r>
        <w:rPr>
          <w:rFonts w:cs="Arial"/>
          <w:noProof/>
          <w:szCs w:val="22"/>
        </w:rPr>
        <w:t>. We intend to d</w:t>
      </w:r>
      <w:r w:rsidRPr="00571AFA">
        <w:rPr>
          <w:rFonts w:cs="Arial"/>
          <w:noProof/>
          <w:szCs w:val="22"/>
        </w:rPr>
        <w:t xml:space="preserve">efine </w:t>
      </w:r>
      <w:r>
        <w:rPr>
          <w:rFonts w:cs="Arial"/>
          <w:noProof/>
          <w:szCs w:val="22"/>
        </w:rPr>
        <w:t xml:space="preserve">both the </w:t>
      </w:r>
      <w:r w:rsidRPr="00571AFA">
        <w:rPr>
          <w:rFonts w:cs="Arial"/>
          <w:noProof/>
          <w:szCs w:val="22"/>
        </w:rPr>
        <w:t>mechanisms of stromal cell responses</w:t>
      </w:r>
      <w:r>
        <w:rPr>
          <w:rFonts w:cs="Arial"/>
          <w:noProof/>
          <w:szCs w:val="22"/>
        </w:rPr>
        <w:t xml:space="preserve"> </w:t>
      </w:r>
      <w:r w:rsidRPr="00571AFA">
        <w:rPr>
          <w:rFonts w:cs="Arial"/>
          <w:noProof/>
          <w:szCs w:val="22"/>
        </w:rPr>
        <w:t>and specific immunosuppression that results in LN structures that support tolerogenic immune responses.</w:t>
      </w:r>
    </w:p>
    <w:p w14:paraId="784DCAA9" w14:textId="33CEC69C" w:rsidR="0033047B" w:rsidRDefault="0033047B" w:rsidP="0033047B">
      <w:pPr>
        <w:jc w:val="both"/>
        <w:rPr>
          <w:rFonts w:cs="Arial"/>
          <w:noProof/>
          <w:szCs w:val="22"/>
        </w:rPr>
      </w:pPr>
      <w:r w:rsidRPr="00D8692D">
        <w:rPr>
          <w:rFonts w:cs="Arial"/>
          <w:noProof/>
          <w:szCs w:val="22"/>
        </w:rPr>
        <w:t>1</w:t>
      </w:r>
      <w:r>
        <w:rPr>
          <w:rFonts w:cs="Arial"/>
          <w:noProof/>
          <w:szCs w:val="22"/>
        </w:rPr>
        <w:t xml:space="preserve"> </w:t>
      </w:r>
      <w:r w:rsidRPr="00D8692D">
        <w:rPr>
          <w:rFonts w:cs="Arial"/>
          <w:noProof/>
          <w:szCs w:val="22"/>
        </w:rPr>
        <w:t>P01AI153003</w:t>
      </w:r>
      <w:r>
        <w:rPr>
          <w:rFonts w:cs="Arial"/>
          <w:noProof/>
          <w:szCs w:val="22"/>
        </w:rPr>
        <w:t>-03 (Abdi)  (Project 2 Bromberg)</w:t>
      </w:r>
      <w:r>
        <w:rPr>
          <w:rFonts w:cs="Arial"/>
          <w:noProof/>
          <w:szCs w:val="22"/>
        </w:rPr>
        <w:tab/>
      </w:r>
      <w:r>
        <w:rPr>
          <w:rFonts w:cs="Arial"/>
          <w:noProof/>
          <w:szCs w:val="22"/>
        </w:rPr>
        <w:tab/>
      </w:r>
      <w:r>
        <w:rPr>
          <w:rFonts w:cs="Arial"/>
          <w:noProof/>
          <w:szCs w:val="22"/>
        </w:rPr>
        <w:tab/>
      </w:r>
      <w:r>
        <w:rPr>
          <w:rFonts w:cs="Arial"/>
          <w:noProof/>
          <w:szCs w:val="22"/>
        </w:rPr>
        <w:tab/>
      </w:r>
      <w:r>
        <w:rPr>
          <w:rFonts w:cs="Arial"/>
          <w:noProof/>
          <w:szCs w:val="22"/>
        </w:rPr>
        <w:tab/>
      </w:r>
      <w:r>
        <w:rPr>
          <w:rFonts w:cs="Arial"/>
          <w:noProof/>
          <w:szCs w:val="22"/>
        </w:rPr>
        <w:tab/>
      </w:r>
      <w:r>
        <w:rPr>
          <w:rFonts w:cs="Arial"/>
          <w:noProof/>
          <w:szCs w:val="22"/>
        </w:rPr>
        <w:tab/>
      </w:r>
      <w:r>
        <w:rPr>
          <w:rFonts w:cs="Arial"/>
          <w:noProof/>
          <w:szCs w:val="22"/>
        </w:rPr>
        <w:tab/>
      </w:r>
      <w:r>
        <w:rPr>
          <w:rFonts w:cs="Arial"/>
          <w:noProof/>
          <w:szCs w:val="22"/>
        </w:rPr>
        <w:tab/>
      </w:r>
      <w:r>
        <w:rPr>
          <w:rFonts w:cs="Arial"/>
          <w:noProof/>
          <w:szCs w:val="22"/>
        </w:rPr>
        <w:tab/>
        <w:t xml:space="preserve">         07/27/2020-06/30/2025 </w:t>
      </w:r>
      <w:r w:rsidRPr="005949BE">
        <w:rPr>
          <w:rFonts w:cs="Arial"/>
          <w:b/>
          <w:bCs/>
          <w:noProof/>
          <w:szCs w:val="22"/>
        </w:rPr>
        <w:t>Lymph nodes at the crossroads of allo immunity and regulation, Project 2: Reshaping lymph node stroma for transplant tolerance</w:t>
      </w:r>
    </w:p>
    <w:p w14:paraId="5B64B9DE" w14:textId="77777777" w:rsidR="0033047B" w:rsidRPr="00CA3E21" w:rsidRDefault="0033047B" w:rsidP="0033047B">
      <w:pPr>
        <w:spacing w:after="120"/>
        <w:jc w:val="both"/>
        <w:rPr>
          <w:rFonts w:cs="Arial"/>
          <w:szCs w:val="22"/>
          <w:shd w:val="clear" w:color="auto" w:fill="FFFFFF"/>
        </w:rPr>
      </w:pPr>
      <w:r w:rsidRPr="00CA3E21">
        <w:rPr>
          <w:rFonts w:cs="Arial"/>
          <w:szCs w:val="22"/>
          <w:shd w:val="clear" w:color="auto" w:fill="FFFFFF"/>
        </w:rPr>
        <w:t xml:space="preserve">This proposal establishes a multidisciplinary collaborative team to produce novel mechanistic data, which will provide the basis for highly innovative and selective therapeutic strategies for transplantation. </w:t>
      </w:r>
      <w:r>
        <w:rPr>
          <w:rFonts w:cs="Arial"/>
          <w:szCs w:val="22"/>
          <w:shd w:val="clear" w:color="auto" w:fill="FFFFFF"/>
        </w:rPr>
        <w:t>T</w:t>
      </w:r>
      <w:r w:rsidRPr="00CA3E21">
        <w:rPr>
          <w:rFonts w:cs="Arial"/>
          <w:szCs w:val="22"/>
          <w:shd w:val="clear" w:color="auto" w:fill="FFFFFF"/>
        </w:rPr>
        <w:t>his proposal can make transformative advances in the field of organ transplantation.</w:t>
      </w:r>
    </w:p>
    <w:p w14:paraId="423B58E2" w14:textId="3DA925DD" w:rsidR="0033047B" w:rsidRDefault="0033047B" w:rsidP="0033047B">
      <w:pPr>
        <w:jc w:val="both"/>
        <w:rPr>
          <w:rFonts w:cs="Arial"/>
          <w:noProof/>
          <w:szCs w:val="22"/>
        </w:rPr>
      </w:pPr>
      <w:r>
        <w:rPr>
          <w:rFonts w:cs="Arial"/>
          <w:noProof/>
          <w:szCs w:val="22"/>
        </w:rPr>
        <w:t xml:space="preserve">7 RO1DK122682-02 (Mas) </w:t>
      </w:r>
      <w:r>
        <w:rPr>
          <w:rFonts w:cs="Arial"/>
          <w:noProof/>
          <w:szCs w:val="22"/>
        </w:rPr>
        <w:tab/>
      </w:r>
      <w:r>
        <w:rPr>
          <w:rFonts w:cs="Arial"/>
          <w:noProof/>
          <w:szCs w:val="22"/>
        </w:rPr>
        <w:tab/>
      </w:r>
      <w:r>
        <w:rPr>
          <w:rFonts w:cs="Arial"/>
          <w:noProof/>
          <w:szCs w:val="22"/>
        </w:rPr>
        <w:tab/>
      </w:r>
      <w:r>
        <w:rPr>
          <w:rFonts w:cs="Arial"/>
          <w:noProof/>
          <w:szCs w:val="22"/>
        </w:rPr>
        <w:tab/>
      </w:r>
      <w:r>
        <w:rPr>
          <w:rFonts w:cs="Arial"/>
          <w:noProof/>
          <w:szCs w:val="22"/>
        </w:rPr>
        <w:tab/>
      </w:r>
      <w:r>
        <w:rPr>
          <w:rFonts w:cs="Arial"/>
          <w:noProof/>
          <w:szCs w:val="22"/>
        </w:rPr>
        <w:tab/>
      </w:r>
      <w:r>
        <w:rPr>
          <w:rFonts w:cs="Arial"/>
          <w:noProof/>
          <w:szCs w:val="22"/>
        </w:rPr>
        <w:tab/>
      </w:r>
      <w:r>
        <w:rPr>
          <w:rFonts w:cs="Arial"/>
          <w:noProof/>
          <w:szCs w:val="22"/>
        </w:rPr>
        <w:tab/>
      </w:r>
      <w:r>
        <w:rPr>
          <w:rFonts w:cs="Arial"/>
          <w:noProof/>
          <w:szCs w:val="22"/>
        </w:rPr>
        <w:tab/>
      </w:r>
      <w:r>
        <w:rPr>
          <w:rFonts w:cs="Arial"/>
          <w:noProof/>
          <w:szCs w:val="22"/>
        </w:rPr>
        <w:tab/>
      </w:r>
      <w:r>
        <w:rPr>
          <w:rFonts w:cs="Arial"/>
          <w:noProof/>
          <w:szCs w:val="22"/>
        </w:rPr>
        <w:tab/>
      </w:r>
      <w:r>
        <w:rPr>
          <w:rFonts w:cs="Arial"/>
          <w:noProof/>
          <w:szCs w:val="22"/>
        </w:rPr>
        <w:tab/>
      </w:r>
      <w:r>
        <w:rPr>
          <w:rFonts w:cs="Arial"/>
          <w:noProof/>
          <w:szCs w:val="22"/>
        </w:rPr>
        <w:tab/>
      </w:r>
      <w:r>
        <w:rPr>
          <w:rFonts w:cs="Arial"/>
          <w:noProof/>
          <w:szCs w:val="22"/>
        </w:rPr>
        <w:tab/>
      </w:r>
      <w:r>
        <w:rPr>
          <w:rFonts w:cs="Arial"/>
          <w:noProof/>
          <w:szCs w:val="22"/>
        </w:rPr>
        <w:tab/>
        <w:t xml:space="preserve">         07/01/2019-06/30/2024 </w:t>
      </w:r>
      <w:r w:rsidRPr="00BA3A9E">
        <w:rPr>
          <w:rFonts w:cs="Arial"/>
          <w:b/>
          <w:bCs/>
          <w:noProof/>
          <w:szCs w:val="22"/>
        </w:rPr>
        <w:t>Dissecting the role of dynamic epigenome prompting pathways leading to kidney allograft fibrosis</w:t>
      </w:r>
    </w:p>
    <w:p w14:paraId="79CDAAC4" w14:textId="77777777" w:rsidR="0033047B" w:rsidRPr="008D4D64" w:rsidRDefault="0033047B" w:rsidP="0033047B">
      <w:pPr>
        <w:spacing w:after="120"/>
        <w:jc w:val="both"/>
        <w:rPr>
          <w:rFonts w:cs="Arial"/>
          <w:noProof/>
          <w:szCs w:val="22"/>
        </w:rPr>
      </w:pPr>
      <w:r w:rsidRPr="008D4D64">
        <w:rPr>
          <w:rFonts w:cs="Arial"/>
          <w:szCs w:val="22"/>
          <w:shd w:val="clear" w:color="auto" w:fill="FFFFFF"/>
        </w:rPr>
        <w:t>The proposed studies will provide information about the effect of epigenetic modifications on molecular pathways and upstream regulators leading to CAD. Resulting non-invasive biomarkers will better predict and stratify graft injury and fibrosis progression, potentially improving long-term renal graft outcomes.</w:t>
      </w:r>
    </w:p>
    <w:p w14:paraId="610CC73D" w14:textId="22C25F9F" w:rsidR="00004385" w:rsidRDefault="00004385" w:rsidP="00004385">
      <w:pPr>
        <w:jc w:val="both"/>
        <w:rPr>
          <w:rFonts w:cs="Arial"/>
          <w:noProof/>
          <w:szCs w:val="22"/>
        </w:rPr>
      </w:pPr>
      <w:r w:rsidRPr="00004385">
        <w:rPr>
          <w:rFonts w:cs="Arial"/>
          <w:noProof/>
          <w:szCs w:val="22"/>
        </w:rPr>
        <w:t>R</w:t>
      </w:r>
      <w:r w:rsidR="009360F4">
        <w:rPr>
          <w:rFonts w:cs="Arial"/>
          <w:noProof/>
          <w:szCs w:val="22"/>
        </w:rPr>
        <w:t>37</w:t>
      </w:r>
      <w:r w:rsidRPr="00004385">
        <w:rPr>
          <w:rFonts w:cs="Arial"/>
          <w:noProof/>
          <w:szCs w:val="22"/>
        </w:rPr>
        <w:t>AI062765-17A1</w:t>
      </w:r>
      <w:r>
        <w:rPr>
          <w:rFonts w:cs="Arial"/>
          <w:noProof/>
          <w:szCs w:val="22"/>
        </w:rPr>
        <w:t xml:space="preserve"> (Bromberg)</w:t>
      </w:r>
      <w:r w:rsidRPr="00004385">
        <w:rPr>
          <w:rFonts w:cs="Arial"/>
          <w:noProof/>
          <w:szCs w:val="22"/>
        </w:rPr>
        <w:tab/>
      </w:r>
      <w:r w:rsidRPr="00004385">
        <w:rPr>
          <w:rFonts w:cs="Arial"/>
          <w:noProof/>
          <w:szCs w:val="22"/>
        </w:rPr>
        <w:tab/>
      </w:r>
      <w:r w:rsidRPr="00004385">
        <w:rPr>
          <w:rFonts w:cs="Arial"/>
          <w:noProof/>
          <w:szCs w:val="22"/>
        </w:rPr>
        <w:tab/>
      </w:r>
      <w:r w:rsidRPr="00004385">
        <w:rPr>
          <w:rFonts w:cs="Arial"/>
          <w:noProof/>
          <w:szCs w:val="22"/>
        </w:rPr>
        <w:tab/>
      </w:r>
      <w:r w:rsidRPr="00004385">
        <w:rPr>
          <w:rFonts w:cs="Arial"/>
          <w:noProof/>
          <w:szCs w:val="22"/>
        </w:rPr>
        <w:tab/>
        <w:t xml:space="preserve">                         </w:t>
      </w:r>
      <w:r w:rsidRPr="00004385">
        <w:rPr>
          <w:rFonts w:cs="Arial"/>
          <w:noProof/>
          <w:szCs w:val="22"/>
        </w:rPr>
        <w:tab/>
        <w:t xml:space="preserve">  </w:t>
      </w:r>
      <w:r>
        <w:rPr>
          <w:rFonts w:cs="Arial"/>
          <w:noProof/>
          <w:szCs w:val="22"/>
        </w:rPr>
        <w:tab/>
      </w:r>
      <w:r>
        <w:rPr>
          <w:rFonts w:cs="Arial"/>
          <w:noProof/>
          <w:szCs w:val="22"/>
        </w:rPr>
        <w:tab/>
      </w:r>
      <w:r>
        <w:rPr>
          <w:rFonts w:cs="Arial"/>
          <w:noProof/>
          <w:szCs w:val="22"/>
        </w:rPr>
        <w:tab/>
      </w:r>
      <w:r>
        <w:rPr>
          <w:rFonts w:cs="Arial"/>
          <w:noProof/>
          <w:szCs w:val="22"/>
        </w:rPr>
        <w:tab/>
      </w:r>
      <w:r>
        <w:rPr>
          <w:rFonts w:cs="Arial"/>
          <w:noProof/>
          <w:szCs w:val="22"/>
        </w:rPr>
        <w:tab/>
      </w:r>
      <w:r>
        <w:rPr>
          <w:rFonts w:cs="Arial"/>
          <w:noProof/>
          <w:szCs w:val="22"/>
        </w:rPr>
        <w:tab/>
      </w:r>
      <w:r>
        <w:rPr>
          <w:rFonts w:cs="Arial"/>
          <w:noProof/>
          <w:szCs w:val="22"/>
        </w:rPr>
        <w:tab/>
      </w:r>
      <w:r w:rsidRPr="00004385">
        <w:rPr>
          <w:rFonts w:cs="Arial"/>
          <w:noProof/>
          <w:szCs w:val="22"/>
        </w:rPr>
        <w:t>4/2/20</w:t>
      </w:r>
      <w:r>
        <w:rPr>
          <w:rFonts w:cs="Arial"/>
          <w:noProof/>
          <w:szCs w:val="22"/>
        </w:rPr>
        <w:t>20</w:t>
      </w:r>
      <w:r w:rsidRPr="00004385">
        <w:rPr>
          <w:rFonts w:cs="Arial"/>
          <w:noProof/>
          <w:szCs w:val="22"/>
        </w:rPr>
        <w:t>-4/1/2</w:t>
      </w:r>
      <w:r>
        <w:rPr>
          <w:rFonts w:cs="Arial"/>
          <w:noProof/>
          <w:szCs w:val="22"/>
        </w:rPr>
        <w:t>02</w:t>
      </w:r>
      <w:r w:rsidRPr="00004385">
        <w:rPr>
          <w:rFonts w:cs="Arial"/>
          <w:noProof/>
          <w:szCs w:val="22"/>
        </w:rPr>
        <w:t xml:space="preserve">5 </w:t>
      </w:r>
    </w:p>
    <w:p w14:paraId="24C78BCF" w14:textId="0B7D4D57" w:rsidR="00004385" w:rsidRPr="00004385" w:rsidRDefault="00004385" w:rsidP="00004385">
      <w:pPr>
        <w:jc w:val="both"/>
        <w:rPr>
          <w:rFonts w:cs="Arial"/>
          <w:b/>
          <w:bCs/>
          <w:noProof/>
          <w:szCs w:val="22"/>
        </w:rPr>
      </w:pPr>
      <w:r w:rsidRPr="00004385">
        <w:rPr>
          <w:rFonts w:cs="Arial"/>
          <w:b/>
          <w:bCs/>
          <w:noProof/>
          <w:szCs w:val="22"/>
        </w:rPr>
        <w:t xml:space="preserve">Regulatory T Cells and Lymphatic Endothelial Cells: Regulatory Interactions for Migration and Suppression.  </w:t>
      </w:r>
    </w:p>
    <w:p w14:paraId="12BF0ED0" w14:textId="68C80C59" w:rsidR="00004385" w:rsidRDefault="00004385" w:rsidP="00A94D51">
      <w:pPr>
        <w:spacing w:after="120"/>
        <w:jc w:val="both"/>
        <w:rPr>
          <w:rFonts w:cs="Arial"/>
          <w:noProof/>
          <w:szCs w:val="22"/>
        </w:rPr>
      </w:pPr>
      <w:r>
        <w:rPr>
          <w:rFonts w:cs="Arial"/>
          <w:noProof/>
          <w:szCs w:val="22"/>
        </w:rPr>
        <w:t>This proposal will de</w:t>
      </w:r>
      <w:r w:rsidRPr="00004385">
        <w:rPr>
          <w:rFonts w:cs="Arial"/>
          <w:noProof/>
          <w:szCs w:val="22"/>
        </w:rPr>
        <w:t>emonstrate that LT</w:t>
      </w:r>
      <w:r w:rsidRPr="00004385">
        <w:rPr>
          <w:rFonts w:ascii="Symbol" w:hAnsi="Symbol" w:cs="Arial"/>
          <w:noProof/>
          <w:szCs w:val="22"/>
        </w:rPr>
        <w:t></w:t>
      </w:r>
      <w:r w:rsidRPr="00004385">
        <w:rPr>
          <w:rFonts w:ascii="Symbol" w:hAnsi="Symbol" w:cs="Arial"/>
          <w:noProof/>
          <w:szCs w:val="22"/>
        </w:rPr>
        <w:t></w:t>
      </w:r>
      <w:r w:rsidRPr="00004385">
        <w:rPr>
          <w:rFonts w:ascii="Symbol" w:hAnsi="Symbol" w:cs="Arial"/>
          <w:noProof/>
          <w:szCs w:val="22"/>
        </w:rPr>
        <w:t></w:t>
      </w:r>
      <w:r w:rsidRPr="00004385">
        <w:rPr>
          <w:rFonts w:cs="Arial"/>
          <w:noProof/>
          <w:szCs w:val="22"/>
        </w:rPr>
        <w:t>- LT</w:t>
      </w:r>
      <w:r w:rsidRPr="00004385">
        <w:rPr>
          <w:rFonts w:ascii="Symbol" w:hAnsi="Symbol" w:cs="Arial"/>
          <w:noProof/>
          <w:szCs w:val="22"/>
        </w:rPr>
        <w:t></w:t>
      </w:r>
      <w:r w:rsidRPr="00004385">
        <w:rPr>
          <w:rFonts w:cs="Arial"/>
          <w:noProof/>
          <w:szCs w:val="22"/>
        </w:rPr>
        <w:t xml:space="preserve">R </w:t>
      </w:r>
      <w:r>
        <w:rPr>
          <w:rFonts w:cs="Arial"/>
          <w:noProof/>
          <w:szCs w:val="22"/>
        </w:rPr>
        <w:t xml:space="preserve">and PD-1-PD-L1 </w:t>
      </w:r>
      <w:r w:rsidRPr="00004385">
        <w:rPr>
          <w:rFonts w:cs="Arial"/>
          <w:noProof/>
          <w:szCs w:val="22"/>
        </w:rPr>
        <w:t xml:space="preserve">interactions </w:t>
      </w:r>
      <w:r>
        <w:rPr>
          <w:rFonts w:cs="Arial"/>
          <w:noProof/>
          <w:szCs w:val="22"/>
        </w:rPr>
        <w:t>regulate Treg migration,</w:t>
      </w:r>
      <w:r w:rsidRPr="00004385">
        <w:rPr>
          <w:rFonts w:cs="Arial"/>
          <w:noProof/>
          <w:szCs w:val="22"/>
        </w:rPr>
        <w:t xml:space="preserve"> homeostasis</w:t>
      </w:r>
      <w:r>
        <w:rPr>
          <w:rFonts w:cs="Arial"/>
          <w:noProof/>
          <w:szCs w:val="22"/>
        </w:rPr>
        <w:t>,</w:t>
      </w:r>
      <w:r w:rsidRPr="00004385">
        <w:rPr>
          <w:rFonts w:cs="Arial"/>
          <w:noProof/>
          <w:szCs w:val="22"/>
        </w:rPr>
        <w:t xml:space="preserve"> function</w:t>
      </w:r>
      <w:r>
        <w:rPr>
          <w:rFonts w:cs="Arial"/>
          <w:noProof/>
          <w:szCs w:val="22"/>
        </w:rPr>
        <w:t>, and the interaction with lymphatic endothelium</w:t>
      </w:r>
      <w:r w:rsidRPr="00004385">
        <w:rPr>
          <w:rFonts w:cs="Arial"/>
          <w:noProof/>
          <w:szCs w:val="22"/>
        </w:rPr>
        <w:t>.</w:t>
      </w:r>
    </w:p>
    <w:p w14:paraId="25049B6E" w14:textId="0B41E155" w:rsidR="00A94D51" w:rsidRPr="00A94D51" w:rsidRDefault="00A94D51" w:rsidP="00A94D51">
      <w:pPr>
        <w:jc w:val="both"/>
        <w:rPr>
          <w:rFonts w:cs="Arial"/>
          <w:noProof/>
          <w:szCs w:val="22"/>
        </w:rPr>
      </w:pPr>
      <w:r w:rsidRPr="00A94D51">
        <w:rPr>
          <w:rFonts w:cs="Arial"/>
          <w:noProof/>
          <w:szCs w:val="22"/>
        </w:rPr>
        <w:t>I01BX003690-06A1</w:t>
      </w:r>
      <w:r>
        <w:rPr>
          <w:rFonts w:cs="Arial"/>
          <w:noProof/>
          <w:szCs w:val="22"/>
        </w:rPr>
        <w:t xml:space="preserve"> (Jewell)</w:t>
      </w:r>
      <w:r>
        <w:rPr>
          <w:rFonts w:cs="Arial"/>
          <w:noProof/>
          <w:szCs w:val="22"/>
        </w:rPr>
        <w:tab/>
      </w:r>
      <w:r>
        <w:rPr>
          <w:rFonts w:cs="Arial"/>
          <w:noProof/>
          <w:szCs w:val="22"/>
        </w:rPr>
        <w:tab/>
      </w:r>
      <w:r>
        <w:rPr>
          <w:rFonts w:cs="Arial"/>
          <w:noProof/>
          <w:szCs w:val="22"/>
        </w:rPr>
        <w:tab/>
      </w:r>
      <w:r>
        <w:rPr>
          <w:rFonts w:cs="Arial"/>
          <w:noProof/>
          <w:szCs w:val="22"/>
        </w:rPr>
        <w:tab/>
      </w:r>
      <w:r>
        <w:rPr>
          <w:rFonts w:cs="Arial"/>
          <w:noProof/>
          <w:szCs w:val="22"/>
        </w:rPr>
        <w:tab/>
      </w:r>
      <w:r>
        <w:rPr>
          <w:rFonts w:cs="Arial"/>
          <w:noProof/>
          <w:szCs w:val="22"/>
        </w:rPr>
        <w:tab/>
      </w:r>
      <w:r>
        <w:rPr>
          <w:rFonts w:cs="Arial"/>
          <w:noProof/>
          <w:szCs w:val="22"/>
        </w:rPr>
        <w:tab/>
      </w:r>
      <w:r>
        <w:rPr>
          <w:rFonts w:cs="Arial"/>
          <w:noProof/>
          <w:szCs w:val="22"/>
        </w:rPr>
        <w:tab/>
      </w:r>
      <w:r>
        <w:rPr>
          <w:rFonts w:cs="Arial"/>
          <w:noProof/>
          <w:szCs w:val="22"/>
        </w:rPr>
        <w:tab/>
      </w:r>
      <w:r>
        <w:rPr>
          <w:rFonts w:cs="Arial"/>
          <w:noProof/>
          <w:szCs w:val="22"/>
        </w:rPr>
        <w:tab/>
      </w:r>
      <w:r>
        <w:rPr>
          <w:rFonts w:cs="Arial"/>
          <w:noProof/>
          <w:szCs w:val="22"/>
        </w:rPr>
        <w:tab/>
      </w:r>
      <w:r>
        <w:rPr>
          <w:rFonts w:cs="Arial"/>
          <w:noProof/>
          <w:szCs w:val="22"/>
        </w:rPr>
        <w:tab/>
      </w:r>
      <w:r>
        <w:rPr>
          <w:rFonts w:cs="Arial"/>
          <w:noProof/>
          <w:szCs w:val="22"/>
        </w:rPr>
        <w:tab/>
      </w:r>
      <w:r>
        <w:rPr>
          <w:rFonts w:cs="Arial"/>
          <w:noProof/>
          <w:szCs w:val="22"/>
        </w:rPr>
        <w:tab/>
      </w:r>
      <w:r>
        <w:rPr>
          <w:rFonts w:cs="Arial"/>
          <w:noProof/>
          <w:szCs w:val="22"/>
        </w:rPr>
        <w:tab/>
      </w:r>
      <w:r>
        <w:rPr>
          <w:rFonts w:cs="Arial"/>
          <w:noProof/>
          <w:szCs w:val="22"/>
        </w:rPr>
        <w:tab/>
        <w:t xml:space="preserve">    07/01/2022-0</w:t>
      </w:r>
      <w:r w:rsidR="001A4303">
        <w:rPr>
          <w:rFonts w:cs="Arial"/>
          <w:noProof/>
          <w:szCs w:val="22"/>
        </w:rPr>
        <w:t>9</w:t>
      </w:r>
      <w:r>
        <w:rPr>
          <w:rFonts w:cs="Arial"/>
          <w:noProof/>
          <w:szCs w:val="22"/>
        </w:rPr>
        <w:t>/30/2026</w:t>
      </w:r>
    </w:p>
    <w:p w14:paraId="3CCB9238" w14:textId="4153549F" w:rsidR="00A94D51" w:rsidRPr="00A94D51" w:rsidRDefault="00A94D51" w:rsidP="00A94D51">
      <w:pPr>
        <w:jc w:val="both"/>
        <w:rPr>
          <w:rFonts w:cs="Arial"/>
          <w:noProof/>
          <w:szCs w:val="22"/>
        </w:rPr>
      </w:pPr>
      <w:r w:rsidRPr="00A94D51">
        <w:rPr>
          <w:rFonts w:cs="Arial"/>
          <w:b/>
          <w:bCs/>
          <w:noProof/>
          <w:szCs w:val="22"/>
        </w:rPr>
        <w:t>Tunable Assembly of Regulatory Immune Signals to Promote Myelin-specific Tolerance</w:t>
      </w:r>
      <w:r>
        <w:rPr>
          <w:rFonts w:cs="Arial"/>
          <w:noProof/>
          <w:szCs w:val="22"/>
        </w:rPr>
        <w:tab/>
      </w:r>
    </w:p>
    <w:p w14:paraId="084837EF" w14:textId="0AEFA921" w:rsidR="00A94D51" w:rsidRDefault="00A94D51" w:rsidP="00A94D51">
      <w:pPr>
        <w:spacing w:after="120"/>
        <w:jc w:val="both"/>
        <w:rPr>
          <w:rFonts w:cs="Arial"/>
          <w:noProof/>
          <w:szCs w:val="22"/>
        </w:rPr>
      </w:pPr>
      <w:r>
        <w:rPr>
          <w:rFonts w:cs="Arial"/>
          <w:noProof/>
          <w:szCs w:val="22"/>
        </w:rPr>
        <w:t>The proposal wil</w:t>
      </w:r>
      <w:r w:rsidR="001A4303">
        <w:rPr>
          <w:rFonts w:cs="Arial"/>
          <w:noProof/>
          <w:szCs w:val="22"/>
        </w:rPr>
        <w:t>l c</w:t>
      </w:r>
      <w:r w:rsidR="001A4303" w:rsidRPr="001A4303">
        <w:rPr>
          <w:rFonts w:cs="Arial"/>
          <w:noProof/>
          <w:szCs w:val="22"/>
        </w:rPr>
        <w:t xml:space="preserve">haracterize iPEM material properties and screen in primary mouse cells and MS patient samples; </w:t>
      </w:r>
      <w:r w:rsidR="001A4303">
        <w:rPr>
          <w:rFonts w:cs="Arial"/>
          <w:noProof/>
          <w:szCs w:val="22"/>
        </w:rPr>
        <w:t>a</w:t>
      </w:r>
      <w:r w:rsidR="001A4303" w:rsidRPr="001A4303">
        <w:rPr>
          <w:rFonts w:cs="Arial"/>
          <w:noProof/>
          <w:szCs w:val="22"/>
        </w:rPr>
        <w:t xml:space="preserve">ssess potency in progressive autoimmune disease (EAE) and test if tolerance is myelin-specific; </w:t>
      </w:r>
      <w:r w:rsidR="001A4303">
        <w:rPr>
          <w:rFonts w:cs="Arial"/>
          <w:noProof/>
          <w:szCs w:val="22"/>
        </w:rPr>
        <w:t>e</w:t>
      </w:r>
      <w:r w:rsidR="001A4303" w:rsidRPr="001A4303">
        <w:rPr>
          <w:rFonts w:cs="Arial"/>
          <w:noProof/>
          <w:szCs w:val="22"/>
        </w:rPr>
        <w:t xml:space="preserve">lucidate the structural and functional changes in LNs, spleen, and the CNS that lead to tolerance; and </w:t>
      </w:r>
      <w:r w:rsidR="001A4303">
        <w:rPr>
          <w:rFonts w:cs="Arial"/>
          <w:noProof/>
          <w:szCs w:val="22"/>
        </w:rPr>
        <w:t>t</w:t>
      </w:r>
      <w:r w:rsidR="001A4303" w:rsidRPr="001A4303">
        <w:rPr>
          <w:rFonts w:cs="Arial"/>
          <w:noProof/>
          <w:szCs w:val="22"/>
        </w:rPr>
        <w:t>est if tolerance is generalizable to other self-antigens using relapsing-remitting model (RR-EAE)</w:t>
      </w:r>
      <w:r w:rsidRPr="00A94D51">
        <w:rPr>
          <w:rFonts w:cs="Arial"/>
          <w:noProof/>
          <w:szCs w:val="22"/>
        </w:rPr>
        <w:t>.</w:t>
      </w:r>
    </w:p>
    <w:p w14:paraId="4D7BE998" w14:textId="66C5A91E" w:rsidR="00A94D51" w:rsidRPr="00A94D51" w:rsidRDefault="00A94D51" w:rsidP="00A94D51">
      <w:pPr>
        <w:jc w:val="both"/>
        <w:rPr>
          <w:rFonts w:cs="Arial"/>
          <w:noProof/>
          <w:szCs w:val="22"/>
        </w:rPr>
      </w:pPr>
      <w:r w:rsidRPr="00A94D51">
        <w:rPr>
          <w:rFonts w:cs="Arial"/>
          <w:noProof/>
          <w:szCs w:val="22"/>
        </w:rPr>
        <w:t>1R01AI169686</w:t>
      </w:r>
      <w:r>
        <w:rPr>
          <w:rFonts w:cs="Arial"/>
          <w:noProof/>
          <w:szCs w:val="22"/>
        </w:rPr>
        <w:t xml:space="preserve"> (Jewell)</w:t>
      </w:r>
      <w:r>
        <w:rPr>
          <w:rFonts w:cs="Arial"/>
          <w:noProof/>
          <w:szCs w:val="22"/>
        </w:rPr>
        <w:tab/>
      </w:r>
      <w:r>
        <w:rPr>
          <w:rFonts w:cs="Arial"/>
          <w:noProof/>
          <w:szCs w:val="22"/>
        </w:rPr>
        <w:tab/>
      </w:r>
      <w:r>
        <w:rPr>
          <w:rFonts w:cs="Arial"/>
          <w:noProof/>
          <w:szCs w:val="22"/>
        </w:rPr>
        <w:tab/>
      </w:r>
      <w:r>
        <w:rPr>
          <w:rFonts w:cs="Arial"/>
          <w:noProof/>
          <w:szCs w:val="22"/>
        </w:rPr>
        <w:tab/>
      </w:r>
      <w:r>
        <w:rPr>
          <w:rFonts w:cs="Arial"/>
          <w:noProof/>
          <w:szCs w:val="22"/>
        </w:rPr>
        <w:tab/>
      </w:r>
      <w:r>
        <w:rPr>
          <w:rFonts w:cs="Arial"/>
          <w:noProof/>
          <w:szCs w:val="22"/>
        </w:rPr>
        <w:tab/>
      </w:r>
      <w:r>
        <w:rPr>
          <w:rFonts w:cs="Arial"/>
          <w:noProof/>
          <w:szCs w:val="22"/>
        </w:rPr>
        <w:tab/>
      </w:r>
      <w:r>
        <w:rPr>
          <w:rFonts w:cs="Arial"/>
          <w:noProof/>
          <w:szCs w:val="22"/>
        </w:rPr>
        <w:tab/>
      </w:r>
      <w:r>
        <w:rPr>
          <w:rFonts w:cs="Arial"/>
          <w:noProof/>
          <w:szCs w:val="22"/>
        </w:rPr>
        <w:tab/>
      </w:r>
      <w:r>
        <w:rPr>
          <w:rFonts w:cs="Arial"/>
          <w:noProof/>
          <w:szCs w:val="22"/>
        </w:rPr>
        <w:tab/>
      </w:r>
      <w:r>
        <w:rPr>
          <w:rFonts w:cs="Arial"/>
          <w:noProof/>
          <w:szCs w:val="22"/>
        </w:rPr>
        <w:tab/>
      </w:r>
      <w:r>
        <w:rPr>
          <w:rFonts w:cs="Arial"/>
          <w:noProof/>
          <w:szCs w:val="22"/>
        </w:rPr>
        <w:tab/>
      </w:r>
      <w:r>
        <w:rPr>
          <w:rFonts w:cs="Arial"/>
          <w:noProof/>
          <w:szCs w:val="22"/>
        </w:rPr>
        <w:tab/>
      </w:r>
      <w:r>
        <w:rPr>
          <w:rFonts w:cs="Arial"/>
          <w:noProof/>
          <w:szCs w:val="22"/>
        </w:rPr>
        <w:tab/>
      </w:r>
      <w:r>
        <w:rPr>
          <w:rFonts w:cs="Arial"/>
          <w:noProof/>
          <w:szCs w:val="22"/>
        </w:rPr>
        <w:tab/>
      </w:r>
      <w:r>
        <w:rPr>
          <w:rFonts w:cs="Arial"/>
          <w:noProof/>
          <w:szCs w:val="22"/>
        </w:rPr>
        <w:tab/>
      </w:r>
      <w:r>
        <w:rPr>
          <w:rFonts w:cs="Arial"/>
          <w:noProof/>
          <w:szCs w:val="22"/>
        </w:rPr>
        <w:tab/>
        <w:t xml:space="preserve">    </w:t>
      </w:r>
      <w:r w:rsidRPr="00A94D51">
        <w:rPr>
          <w:rFonts w:cs="Arial"/>
          <w:noProof/>
          <w:szCs w:val="22"/>
        </w:rPr>
        <w:t>02/01/2022-01/31/2027</w:t>
      </w:r>
    </w:p>
    <w:p w14:paraId="25BD4383" w14:textId="3CEE8EFA" w:rsidR="00A94D51" w:rsidRPr="00A94D51" w:rsidRDefault="00A94D51" w:rsidP="00A94D51">
      <w:pPr>
        <w:jc w:val="both"/>
        <w:rPr>
          <w:rFonts w:cs="Arial"/>
          <w:b/>
          <w:bCs/>
          <w:noProof/>
          <w:szCs w:val="22"/>
        </w:rPr>
      </w:pPr>
      <w:r w:rsidRPr="00A94D51">
        <w:rPr>
          <w:rFonts w:cs="Arial"/>
          <w:b/>
          <w:bCs/>
          <w:noProof/>
          <w:szCs w:val="22"/>
        </w:rPr>
        <w:t>Defining the induction and maintenance of myelin-specific tolerance in T cells and B cells using local lymph node depots</w:t>
      </w:r>
    </w:p>
    <w:p w14:paraId="26EFE084" w14:textId="766D995F" w:rsidR="00A94D51" w:rsidRDefault="00A94D51" w:rsidP="00717C3E">
      <w:pPr>
        <w:spacing w:after="120"/>
        <w:jc w:val="both"/>
        <w:rPr>
          <w:rFonts w:cs="Arial"/>
          <w:noProof/>
          <w:szCs w:val="22"/>
        </w:rPr>
      </w:pPr>
      <w:r>
        <w:rPr>
          <w:rFonts w:cs="Arial"/>
          <w:noProof/>
          <w:szCs w:val="22"/>
        </w:rPr>
        <w:t>The proposal will</w:t>
      </w:r>
      <w:r w:rsidRPr="00A94D51">
        <w:rPr>
          <w:rFonts w:cs="Arial"/>
          <w:noProof/>
          <w:szCs w:val="22"/>
        </w:rPr>
        <w:t>: Define the robustness of efficacy and the underpinning therapeutic effects on neuroinflammation</w:t>
      </w:r>
      <w:r>
        <w:rPr>
          <w:rFonts w:cs="Arial"/>
          <w:noProof/>
          <w:szCs w:val="22"/>
        </w:rPr>
        <w:t xml:space="preserve">; </w:t>
      </w:r>
      <w:r w:rsidRPr="00A94D51">
        <w:rPr>
          <w:rFonts w:cs="Arial"/>
          <w:noProof/>
          <w:szCs w:val="22"/>
        </w:rPr>
        <w:t>Show the durability of tolerance is antigen-dependent and driven by TREG maintenance &amp; plasticity</w:t>
      </w:r>
      <w:r>
        <w:rPr>
          <w:rFonts w:cs="Arial"/>
          <w:noProof/>
          <w:szCs w:val="22"/>
        </w:rPr>
        <w:t xml:space="preserve">; and </w:t>
      </w:r>
      <w:r w:rsidRPr="00A94D51">
        <w:rPr>
          <w:rFonts w:cs="Arial"/>
          <w:noProof/>
          <w:szCs w:val="22"/>
        </w:rPr>
        <w:t>Show i.LN. depots disrupt germinal centers, reduce auto-antibodies, &amp; induce tolerogenic B cells</w:t>
      </w:r>
      <w:r>
        <w:rPr>
          <w:rFonts w:cs="Arial"/>
          <w:noProof/>
          <w:szCs w:val="22"/>
        </w:rPr>
        <w:t>.</w:t>
      </w:r>
    </w:p>
    <w:p w14:paraId="2442306E" w14:textId="47DB5FFC" w:rsidR="00D96469" w:rsidRDefault="00D96469" w:rsidP="00A94D51">
      <w:pPr>
        <w:jc w:val="both"/>
        <w:rPr>
          <w:rFonts w:cs="Arial"/>
          <w:noProof/>
          <w:szCs w:val="22"/>
        </w:rPr>
      </w:pPr>
      <w:r w:rsidRPr="00D96469">
        <w:rPr>
          <w:rFonts w:cs="Arial"/>
          <w:noProof/>
          <w:szCs w:val="22"/>
        </w:rPr>
        <w:t>U01AI170050</w:t>
      </w:r>
      <w:r>
        <w:rPr>
          <w:rFonts w:cs="Arial"/>
          <w:noProof/>
          <w:szCs w:val="22"/>
        </w:rPr>
        <w:t xml:space="preserve"> (Bromberg, Co-PI)</w:t>
      </w:r>
      <w:r>
        <w:rPr>
          <w:rFonts w:cs="Arial"/>
          <w:noProof/>
          <w:szCs w:val="22"/>
        </w:rPr>
        <w:tab/>
      </w:r>
      <w:r>
        <w:rPr>
          <w:rFonts w:cs="Arial"/>
          <w:noProof/>
          <w:szCs w:val="22"/>
        </w:rPr>
        <w:tab/>
      </w:r>
      <w:r>
        <w:rPr>
          <w:rFonts w:cs="Arial"/>
          <w:noProof/>
          <w:szCs w:val="22"/>
        </w:rPr>
        <w:tab/>
      </w:r>
      <w:r>
        <w:rPr>
          <w:rFonts w:cs="Arial"/>
          <w:noProof/>
          <w:szCs w:val="22"/>
        </w:rPr>
        <w:tab/>
      </w:r>
      <w:r>
        <w:rPr>
          <w:rFonts w:cs="Arial"/>
          <w:noProof/>
          <w:szCs w:val="22"/>
        </w:rPr>
        <w:tab/>
      </w:r>
      <w:r>
        <w:rPr>
          <w:rFonts w:cs="Arial"/>
          <w:noProof/>
          <w:szCs w:val="22"/>
        </w:rPr>
        <w:tab/>
      </w:r>
      <w:r>
        <w:rPr>
          <w:rFonts w:cs="Arial"/>
          <w:noProof/>
          <w:szCs w:val="22"/>
        </w:rPr>
        <w:tab/>
      </w:r>
      <w:r>
        <w:rPr>
          <w:rFonts w:cs="Arial"/>
          <w:noProof/>
          <w:szCs w:val="22"/>
        </w:rPr>
        <w:tab/>
      </w:r>
      <w:r>
        <w:rPr>
          <w:rFonts w:cs="Arial"/>
          <w:noProof/>
          <w:szCs w:val="22"/>
        </w:rPr>
        <w:tab/>
      </w:r>
      <w:r>
        <w:rPr>
          <w:rFonts w:cs="Arial"/>
          <w:noProof/>
          <w:szCs w:val="22"/>
        </w:rPr>
        <w:tab/>
      </w:r>
      <w:r>
        <w:rPr>
          <w:rFonts w:cs="Arial"/>
          <w:noProof/>
          <w:szCs w:val="22"/>
        </w:rPr>
        <w:tab/>
      </w:r>
      <w:r>
        <w:rPr>
          <w:rFonts w:cs="Arial"/>
          <w:noProof/>
          <w:szCs w:val="22"/>
        </w:rPr>
        <w:tab/>
      </w:r>
      <w:r>
        <w:rPr>
          <w:rFonts w:cs="Arial"/>
          <w:noProof/>
          <w:szCs w:val="22"/>
        </w:rPr>
        <w:tab/>
      </w:r>
      <w:r>
        <w:rPr>
          <w:rFonts w:cs="Arial"/>
          <w:noProof/>
          <w:szCs w:val="22"/>
        </w:rPr>
        <w:tab/>
      </w:r>
      <w:r>
        <w:rPr>
          <w:rFonts w:cs="Arial"/>
          <w:noProof/>
          <w:szCs w:val="22"/>
        </w:rPr>
        <w:tab/>
        <w:t xml:space="preserve">    05/13/2022-04/30/2027</w:t>
      </w:r>
    </w:p>
    <w:p w14:paraId="3B76FD7C" w14:textId="77777777" w:rsidR="00D96469" w:rsidRPr="00D96469" w:rsidRDefault="00D96469" w:rsidP="00A94D51">
      <w:pPr>
        <w:jc w:val="both"/>
        <w:rPr>
          <w:rFonts w:cs="Arial"/>
          <w:b/>
          <w:bCs/>
          <w:noProof/>
          <w:szCs w:val="22"/>
        </w:rPr>
      </w:pPr>
      <w:r w:rsidRPr="00D96469">
        <w:rPr>
          <w:rFonts w:cs="Arial"/>
          <w:b/>
          <w:bCs/>
          <w:noProof/>
          <w:szCs w:val="22"/>
        </w:rPr>
        <w:t>Mechanisms of microbiome-driven cardiac allograft outcomes</w:t>
      </w:r>
    </w:p>
    <w:p w14:paraId="32E53407" w14:textId="0BA1062F" w:rsidR="00D96469" w:rsidRPr="00A94D51" w:rsidRDefault="00D96469" w:rsidP="00A94D51">
      <w:pPr>
        <w:jc w:val="both"/>
        <w:rPr>
          <w:rFonts w:cs="Arial"/>
          <w:noProof/>
          <w:szCs w:val="22"/>
        </w:rPr>
      </w:pPr>
      <w:r>
        <w:rPr>
          <w:rFonts w:cs="Arial"/>
          <w:noProof/>
          <w:szCs w:val="22"/>
        </w:rPr>
        <w:t xml:space="preserve">The proposal will: </w:t>
      </w:r>
      <w:r w:rsidRPr="00D96469">
        <w:rPr>
          <w:rFonts w:cs="Arial"/>
          <w:noProof/>
          <w:szCs w:val="22"/>
        </w:rPr>
        <w:t>Elucidate the molecular mechanisms by which the gut microbiome determines cardiac allograft outcomes</w:t>
      </w:r>
      <w:r>
        <w:rPr>
          <w:rFonts w:cs="Arial"/>
          <w:noProof/>
          <w:szCs w:val="22"/>
        </w:rPr>
        <w:t>;</w:t>
      </w:r>
      <w:r w:rsidRPr="00D96469">
        <w:t xml:space="preserve"> </w:t>
      </w:r>
      <w:r w:rsidRPr="00D96469">
        <w:rPr>
          <w:rFonts w:cs="Arial"/>
          <w:noProof/>
          <w:szCs w:val="22"/>
        </w:rPr>
        <w:t>Determine intestinal epithelial cell type-specific responses to pro- or anti-inflammatory bacterial induction</w:t>
      </w:r>
      <w:r>
        <w:rPr>
          <w:rFonts w:cs="Arial"/>
          <w:noProof/>
          <w:szCs w:val="22"/>
        </w:rPr>
        <w:t xml:space="preserve">; and </w:t>
      </w:r>
      <w:r w:rsidRPr="00D96469">
        <w:rPr>
          <w:rFonts w:cs="Arial"/>
          <w:noProof/>
          <w:szCs w:val="22"/>
        </w:rPr>
        <w:t>Define microbiome-driven immune responses and LN structural changes that determine cardiac graft outcomes</w:t>
      </w:r>
      <w:r>
        <w:rPr>
          <w:rFonts w:cs="Arial"/>
          <w:noProof/>
          <w:szCs w:val="22"/>
        </w:rPr>
        <w:t>.</w:t>
      </w:r>
    </w:p>
    <w:p w14:paraId="6009DBCF" w14:textId="77777777" w:rsidR="00EA029A" w:rsidRDefault="00EA029A" w:rsidP="00EA029A"/>
    <w:p w14:paraId="46808C24" w14:textId="3C067D83" w:rsidR="00EA029A" w:rsidRPr="008679DA" w:rsidRDefault="00EA029A" w:rsidP="00EA029A">
      <w:pPr>
        <w:rPr>
          <w:b/>
          <w:bCs/>
        </w:rPr>
      </w:pPr>
      <w:r w:rsidRPr="008679DA">
        <w:rPr>
          <w:b/>
          <w:bCs/>
        </w:rPr>
        <w:t xml:space="preserve">Citations: </w:t>
      </w:r>
    </w:p>
    <w:p w14:paraId="4EE2828B" w14:textId="77777777" w:rsidR="00EA029A" w:rsidRPr="008679DA" w:rsidRDefault="00EA029A" w:rsidP="00EA029A">
      <w:pPr>
        <w:pStyle w:val="ListParagraph"/>
        <w:numPr>
          <w:ilvl w:val="0"/>
          <w:numId w:val="19"/>
        </w:numPr>
        <w:tabs>
          <w:tab w:val="left" w:pos="0"/>
          <w:tab w:val="left" w:pos="360"/>
        </w:tabs>
        <w:jc w:val="both"/>
        <w:rPr>
          <w:rFonts w:cs="Arial"/>
          <w:szCs w:val="22"/>
        </w:rPr>
      </w:pPr>
      <w:proofErr w:type="spellStart"/>
      <w:r w:rsidRPr="008679DA">
        <w:rPr>
          <w:rFonts w:cs="Arial"/>
          <w:szCs w:val="22"/>
        </w:rPr>
        <w:t>Ledgerwood</w:t>
      </w:r>
      <w:proofErr w:type="spellEnd"/>
      <w:r w:rsidRPr="008679DA">
        <w:rPr>
          <w:rFonts w:cs="Arial"/>
          <w:szCs w:val="22"/>
        </w:rPr>
        <w:t xml:space="preserve"> LG, Lal G, Zhang N, </w:t>
      </w:r>
      <w:proofErr w:type="spellStart"/>
      <w:r w:rsidRPr="008679DA">
        <w:rPr>
          <w:rFonts w:cs="Arial"/>
          <w:szCs w:val="22"/>
        </w:rPr>
        <w:t>Garin</w:t>
      </w:r>
      <w:proofErr w:type="spellEnd"/>
      <w:r w:rsidRPr="008679DA">
        <w:rPr>
          <w:rFonts w:cs="Arial"/>
          <w:szCs w:val="22"/>
        </w:rPr>
        <w:t xml:space="preserve"> A, </w:t>
      </w:r>
      <w:proofErr w:type="spellStart"/>
      <w:r w:rsidRPr="008679DA">
        <w:rPr>
          <w:rFonts w:cs="Arial"/>
          <w:szCs w:val="22"/>
        </w:rPr>
        <w:t>Esses</w:t>
      </w:r>
      <w:proofErr w:type="spellEnd"/>
      <w:r w:rsidRPr="008679DA">
        <w:rPr>
          <w:rFonts w:cs="Arial"/>
          <w:szCs w:val="22"/>
        </w:rPr>
        <w:t xml:space="preserve"> SJ, </w:t>
      </w:r>
      <w:proofErr w:type="spellStart"/>
      <w:r w:rsidRPr="008679DA">
        <w:rPr>
          <w:rFonts w:cs="Arial"/>
          <w:szCs w:val="22"/>
        </w:rPr>
        <w:t>Ginhoux</w:t>
      </w:r>
      <w:proofErr w:type="spellEnd"/>
      <w:r w:rsidRPr="008679DA">
        <w:rPr>
          <w:rFonts w:cs="Arial"/>
          <w:szCs w:val="22"/>
        </w:rPr>
        <w:t xml:space="preserve"> F, </w:t>
      </w:r>
      <w:proofErr w:type="spellStart"/>
      <w:r w:rsidRPr="008679DA">
        <w:rPr>
          <w:rFonts w:cs="Arial"/>
          <w:szCs w:val="22"/>
        </w:rPr>
        <w:t>Peche</w:t>
      </w:r>
      <w:proofErr w:type="spellEnd"/>
      <w:r w:rsidRPr="008679DA">
        <w:rPr>
          <w:rFonts w:cs="Arial"/>
          <w:szCs w:val="22"/>
        </w:rPr>
        <w:t xml:space="preserve"> H, Lira SA, Ding Y, Yang Y, He X, </w:t>
      </w:r>
      <w:proofErr w:type="spellStart"/>
      <w:r w:rsidRPr="008679DA">
        <w:rPr>
          <w:rFonts w:cs="Arial"/>
          <w:szCs w:val="22"/>
        </w:rPr>
        <w:t>Schuchman</w:t>
      </w:r>
      <w:proofErr w:type="spellEnd"/>
      <w:r w:rsidRPr="008679DA">
        <w:rPr>
          <w:rFonts w:cs="Arial"/>
          <w:szCs w:val="22"/>
        </w:rPr>
        <w:t xml:space="preserve"> EH, Allende ML, </w:t>
      </w:r>
      <w:proofErr w:type="spellStart"/>
      <w:r w:rsidRPr="008679DA">
        <w:rPr>
          <w:rFonts w:cs="Arial"/>
          <w:szCs w:val="22"/>
        </w:rPr>
        <w:t>Ochando</w:t>
      </w:r>
      <w:proofErr w:type="spellEnd"/>
      <w:r w:rsidRPr="008679DA">
        <w:rPr>
          <w:rFonts w:cs="Arial"/>
          <w:szCs w:val="22"/>
        </w:rPr>
        <w:t xml:space="preserve"> JC, Bromberg JS. Sphingosine 1-phosphate receptor S1P1 causes tissue retention by inhibiting peripheral tissue T lymphocyte entry into afferent lymphatics.  Nature Immunol., 2008, 9:42-53. PMID: 18037890.</w:t>
      </w:r>
    </w:p>
    <w:p w14:paraId="62B6FDEA" w14:textId="77777777" w:rsidR="00EA029A" w:rsidRPr="008679DA" w:rsidRDefault="00EA029A" w:rsidP="00EA029A">
      <w:pPr>
        <w:pStyle w:val="ListParagraph"/>
        <w:numPr>
          <w:ilvl w:val="0"/>
          <w:numId w:val="19"/>
        </w:numPr>
        <w:tabs>
          <w:tab w:val="left" w:pos="0"/>
          <w:tab w:val="left" w:pos="360"/>
        </w:tabs>
        <w:jc w:val="both"/>
        <w:rPr>
          <w:rFonts w:cs="Arial"/>
          <w:szCs w:val="22"/>
        </w:rPr>
      </w:pPr>
      <w:r w:rsidRPr="008679DA">
        <w:rPr>
          <w:rFonts w:cs="Arial"/>
          <w:szCs w:val="22"/>
        </w:rPr>
        <w:t>Warren KJ, Iwami D, Harris DG, Bromberg JS, Burrell BE. Vascular basement membrane proteins laminin alpha 4 and laminin alpha 5 differentially influence CD4+ T cell lymph node trafficking and allograft fate. J. Clin. Invest., 2014, 124:2204-2218. PMCID: PMC4001556.</w:t>
      </w:r>
    </w:p>
    <w:p w14:paraId="2137D7AC" w14:textId="77777777" w:rsidR="00EA029A" w:rsidRPr="008679DA" w:rsidRDefault="00EA029A" w:rsidP="00EA029A">
      <w:pPr>
        <w:pStyle w:val="ListParagraph"/>
        <w:numPr>
          <w:ilvl w:val="0"/>
          <w:numId w:val="19"/>
        </w:numPr>
        <w:tabs>
          <w:tab w:val="left" w:pos="0"/>
          <w:tab w:val="left" w:pos="360"/>
        </w:tabs>
        <w:jc w:val="both"/>
        <w:rPr>
          <w:rFonts w:cs="Arial"/>
          <w:szCs w:val="22"/>
        </w:rPr>
      </w:pPr>
      <w:r w:rsidRPr="008679DA">
        <w:rPr>
          <w:rFonts w:cs="Arial"/>
          <w:szCs w:val="22"/>
        </w:rPr>
        <w:t>Piao W, Xiong Y, Famulski K, Brinkman CC, Li L, Wagner C, Saxena V, Simon T, Bromberg JS. Regulation of T cell afferent lymphatic migration by targeting LT</w:t>
      </w:r>
      <w:r w:rsidRPr="008679DA">
        <w:rPr>
          <w:rFonts w:ascii="Symbol" w:hAnsi="Symbol" w:cs="Arial"/>
          <w:szCs w:val="22"/>
        </w:rPr>
        <w:t></w:t>
      </w:r>
      <w:r w:rsidRPr="008679DA">
        <w:rPr>
          <w:rFonts w:cs="Arial"/>
          <w:szCs w:val="22"/>
        </w:rPr>
        <w:t>R-mediated non-classical NF</w:t>
      </w:r>
      <w:r w:rsidRPr="008679DA">
        <w:rPr>
          <w:rFonts w:ascii="Symbol" w:hAnsi="Symbol" w:cs="Arial"/>
          <w:szCs w:val="22"/>
        </w:rPr>
        <w:t></w:t>
      </w:r>
      <w:r w:rsidRPr="008679DA">
        <w:rPr>
          <w:rFonts w:cs="Arial"/>
          <w:szCs w:val="22"/>
        </w:rPr>
        <w:t xml:space="preserve">B signaling. Nature Comm. 2018, 9: 3020. </w:t>
      </w:r>
      <w:proofErr w:type="spellStart"/>
      <w:r w:rsidRPr="008679DA">
        <w:rPr>
          <w:rFonts w:cs="Arial"/>
          <w:szCs w:val="22"/>
        </w:rPr>
        <w:t>doi</w:t>
      </w:r>
      <w:proofErr w:type="spellEnd"/>
      <w:r w:rsidRPr="008679DA">
        <w:rPr>
          <w:rFonts w:cs="Arial"/>
          <w:szCs w:val="22"/>
        </w:rPr>
        <w:t>: 10.1038/s41467-018-05412-0. PMCID: PMC6070541.</w:t>
      </w:r>
    </w:p>
    <w:p w14:paraId="765996E8" w14:textId="77777777" w:rsidR="00EA029A" w:rsidRPr="008679DA" w:rsidRDefault="00EA029A" w:rsidP="00EA029A">
      <w:pPr>
        <w:pStyle w:val="ListParagraph"/>
        <w:numPr>
          <w:ilvl w:val="0"/>
          <w:numId w:val="19"/>
        </w:numPr>
        <w:tabs>
          <w:tab w:val="left" w:pos="360"/>
        </w:tabs>
        <w:jc w:val="both"/>
        <w:rPr>
          <w:rFonts w:cs="Arial"/>
          <w:szCs w:val="22"/>
        </w:rPr>
      </w:pPr>
      <w:r w:rsidRPr="008679DA">
        <w:rPr>
          <w:rFonts w:cs="Arial"/>
          <w:szCs w:val="22"/>
        </w:rPr>
        <w:t xml:space="preserve">Xiong Y, Piao W, Brinkman CC, Li L, Kulinski JM, Olivera A, Cartier A, Hla T, Hippen K, Blazar B, Schwab SR, Bromberg JS. CD4 T cell Sphingosine 1-phosphate receptor (S1PR)1 and S1PR4 and endothelial </w:t>
      </w:r>
      <w:r w:rsidRPr="008679DA">
        <w:rPr>
          <w:rFonts w:cs="Arial"/>
          <w:szCs w:val="22"/>
        </w:rPr>
        <w:lastRenderedPageBreak/>
        <w:t>S1PR2 regulate afferent lymphatic migration. Science Immunology 2019, Mar 15;4(</w:t>
      </w:r>
      <w:proofErr w:type="gramStart"/>
      <w:r w:rsidRPr="008679DA">
        <w:rPr>
          <w:rFonts w:cs="Arial"/>
          <w:szCs w:val="22"/>
        </w:rPr>
        <w:t>33)eeav</w:t>
      </w:r>
      <w:proofErr w:type="gramEnd"/>
      <w:r w:rsidRPr="008679DA">
        <w:rPr>
          <w:rFonts w:cs="Arial"/>
          <w:szCs w:val="22"/>
        </w:rPr>
        <w:t xml:space="preserve">1263. </w:t>
      </w:r>
      <w:proofErr w:type="spellStart"/>
      <w:r w:rsidRPr="008679DA">
        <w:rPr>
          <w:rFonts w:cs="Arial"/>
          <w:szCs w:val="22"/>
        </w:rPr>
        <w:t>doi</w:t>
      </w:r>
      <w:proofErr w:type="spellEnd"/>
      <w:r w:rsidRPr="008679DA">
        <w:rPr>
          <w:rFonts w:cs="Arial"/>
          <w:szCs w:val="22"/>
        </w:rPr>
        <w:t>: 10.1126/</w:t>
      </w:r>
      <w:proofErr w:type="gramStart"/>
      <w:r w:rsidRPr="008679DA">
        <w:rPr>
          <w:rFonts w:cs="Arial"/>
          <w:szCs w:val="22"/>
        </w:rPr>
        <w:t>sciimmunol.aav</w:t>
      </w:r>
      <w:proofErr w:type="gramEnd"/>
      <w:r w:rsidRPr="008679DA">
        <w:rPr>
          <w:rFonts w:cs="Arial"/>
          <w:szCs w:val="22"/>
        </w:rPr>
        <w:t>1263. PMCID: PMC6744614.</w:t>
      </w:r>
    </w:p>
    <w:p w14:paraId="4E1F882A" w14:textId="77777777" w:rsidR="002C51BC" w:rsidRPr="00A128A0" w:rsidRDefault="002C51BC" w:rsidP="002C51BC">
      <w:pPr>
        <w:pStyle w:val="DataField11pt-Single"/>
        <w:rPr>
          <w:rStyle w:val="Strong"/>
        </w:rPr>
      </w:pPr>
    </w:p>
    <w:p w14:paraId="227A7865" w14:textId="77777777" w:rsidR="0033047B" w:rsidRDefault="002C51BC" w:rsidP="0033047B">
      <w:pPr>
        <w:tabs>
          <w:tab w:val="left" w:pos="720"/>
          <w:tab w:val="left" w:pos="1620"/>
        </w:tabs>
        <w:ind w:left="1620" w:hanging="1620"/>
        <w:rPr>
          <w:rStyle w:val="Strong"/>
        </w:rPr>
      </w:pPr>
      <w:r w:rsidRPr="00A128A0">
        <w:rPr>
          <w:rStyle w:val="Strong"/>
        </w:rPr>
        <w:t>B.</w:t>
      </w:r>
      <w:r w:rsidRPr="00A128A0">
        <w:rPr>
          <w:rStyle w:val="Strong"/>
        </w:rPr>
        <w:tab/>
        <w:t>Positions</w:t>
      </w:r>
      <w:r w:rsidR="00CF6FAD">
        <w:rPr>
          <w:rStyle w:val="Strong"/>
        </w:rPr>
        <w:t>, Scientific Appointments,</w:t>
      </w:r>
      <w:r w:rsidRPr="00A128A0">
        <w:rPr>
          <w:rStyle w:val="Strong"/>
        </w:rPr>
        <w:t xml:space="preserve"> and Honors</w:t>
      </w:r>
    </w:p>
    <w:p w14:paraId="488C0BE7" w14:textId="2413CFA6" w:rsidR="0033047B" w:rsidRPr="001A53A9" w:rsidRDefault="00977473" w:rsidP="0033047B">
      <w:pPr>
        <w:tabs>
          <w:tab w:val="left" w:pos="0"/>
          <w:tab w:val="left" w:pos="720"/>
        </w:tabs>
        <w:ind w:left="2160" w:hanging="2160"/>
        <w:jc w:val="both"/>
        <w:rPr>
          <w:rFonts w:cs="Arial"/>
          <w:b/>
          <w:szCs w:val="22"/>
          <w:u w:val="single"/>
        </w:rPr>
      </w:pPr>
      <w:r>
        <w:rPr>
          <w:rFonts w:cs="Arial"/>
          <w:b/>
          <w:szCs w:val="22"/>
          <w:u w:val="single"/>
        </w:rPr>
        <w:t xml:space="preserve">Positions and </w:t>
      </w:r>
      <w:proofErr w:type="gramStart"/>
      <w:r>
        <w:rPr>
          <w:rFonts w:cs="Arial"/>
          <w:b/>
          <w:szCs w:val="22"/>
          <w:u w:val="single"/>
        </w:rPr>
        <w:t xml:space="preserve">Scientific </w:t>
      </w:r>
      <w:r w:rsidR="0033047B" w:rsidRPr="001A53A9">
        <w:rPr>
          <w:rFonts w:cs="Arial"/>
          <w:b/>
          <w:szCs w:val="22"/>
          <w:u w:val="single"/>
        </w:rPr>
        <w:t xml:space="preserve"> Appointments</w:t>
      </w:r>
      <w:proofErr w:type="gramEnd"/>
    </w:p>
    <w:p w14:paraId="41C70734" w14:textId="4C191347" w:rsidR="00290160" w:rsidRPr="001A53A9" w:rsidRDefault="00290160" w:rsidP="00290160">
      <w:pPr>
        <w:tabs>
          <w:tab w:val="left" w:pos="720"/>
          <w:tab w:val="left" w:pos="1440"/>
        </w:tabs>
        <w:ind w:left="1440" w:hanging="1440"/>
        <w:jc w:val="both"/>
        <w:rPr>
          <w:rFonts w:cs="Arial"/>
          <w:szCs w:val="22"/>
        </w:rPr>
      </w:pPr>
      <w:r>
        <w:rPr>
          <w:rFonts w:cs="Arial"/>
          <w:szCs w:val="22"/>
        </w:rPr>
        <w:t>2021</w:t>
      </w:r>
      <w:r w:rsidRPr="00A02F16">
        <w:rPr>
          <w:rFonts w:cs="Arial"/>
          <w:szCs w:val="22"/>
        </w:rPr>
        <w:t>–present</w:t>
      </w:r>
      <w:r w:rsidRPr="00A02F16">
        <w:rPr>
          <w:rFonts w:cs="Arial"/>
          <w:szCs w:val="22"/>
        </w:rPr>
        <w:tab/>
        <w:t>Adjunct Professor</w:t>
      </w:r>
      <w:r>
        <w:rPr>
          <w:rFonts w:cs="Arial"/>
          <w:szCs w:val="22"/>
        </w:rPr>
        <w:t>,</w:t>
      </w:r>
      <w:r w:rsidRPr="00A02F16">
        <w:rPr>
          <w:rFonts w:cs="Arial"/>
          <w:szCs w:val="22"/>
        </w:rPr>
        <w:t xml:space="preserve"> Department of Bioengineering, University of Maryland, College Park, MD</w:t>
      </w:r>
    </w:p>
    <w:p w14:paraId="50AF27C2" w14:textId="77777777" w:rsidR="00290160" w:rsidRDefault="00290160" w:rsidP="00290160">
      <w:pPr>
        <w:tabs>
          <w:tab w:val="left" w:pos="720"/>
          <w:tab w:val="left" w:pos="1440"/>
        </w:tabs>
        <w:ind w:left="1440" w:hanging="1440"/>
        <w:jc w:val="both"/>
        <w:rPr>
          <w:rFonts w:cs="Arial"/>
          <w:szCs w:val="22"/>
        </w:rPr>
      </w:pPr>
      <w:r w:rsidRPr="001A53A9">
        <w:rPr>
          <w:rFonts w:cs="Arial"/>
          <w:szCs w:val="22"/>
        </w:rPr>
        <w:t>2010-present</w:t>
      </w:r>
      <w:r>
        <w:rPr>
          <w:rFonts w:cs="Arial"/>
          <w:szCs w:val="22"/>
        </w:rPr>
        <w:tab/>
      </w:r>
      <w:r w:rsidRPr="001A53A9">
        <w:rPr>
          <w:rFonts w:cs="Arial"/>
          <w:szCs w:val="22"/>
        </w:rPr>
        <w:t>Professor of Surgery and Microbiology and Immunology, Chief</w:t>
      </w:r>
      <w:r>
        <w:rPr>
          <w:rFonts w:cs="Arial"/>
          <w:szCs w:val="22"/>
        </w:rPr>
        <w:t>,</w:t>
      </w:r>
      <w:r w:rsidRPr="001A53A9">
        <w:rPr>
          <w:rFonts w:cs="Arial"/>
          <w:szCs w:val="22"/>
        </w:rPr>
        <w:t xml:space="preserve"> Director of </w:t>
      </w:r>
      <w:r>
        <w:rPr>
          <w:rFonts w:cs="Arial"/>
          <w:szCs w:val="22"/>
        </w:rPr>
        <w:t xml:space="preserve">Transplant </w:t>
      </w:r>
      <w:r w:rsidRPr="001A53A9">
        <w:rPr>
          <w:rFonts w:cs="Arial"/>
          <w:szCs w:val="22"/>
        </w:rPr>
        <w:t xml:space="preserve">Research, </w:t>
      </w:r>
      <w:r>
        <w:rPr>
          <w:rFonts w:cs="Arial"/>
          <w:szCs w:val="22"/>
        </w:rPr>
        <w:t>Vice Chair for Research Department of Surgery</w:t>
      </w:r>
      <w:r w:rsidRPr="001A53A9">
        <w:rPr>
          <w:rFonts w:cs="Arial"/>
          <w:szCs w:val="22"/>
        </w:rPr>
        <w:t>, University</w:t>
      </w:r>
      <w:r>
        <w:rPr>
          <w:rFonts w:cs="Arial"/>
          <w:szCs w:val="22"/>
        </w:rPr>
        <w:t xml:space="preserve"> of Maryland</w:t>
      </w:r>
    </w:p>
    <w:p w14:paraId="784426B6" w14:textId="77777777" w:rsidR="00290160" w:rsidRPr="001A53A9" w:rsidRDefault="00290160" w:rsidP="00290160">
      <w:pPr>
        <w:tabs>
          <w:tab w:val="left" w:pos="0"/>
          <w:tab w:val="left" w:pos="720"/>
          <w:tab w:val="num" w:pos="1440"/>
        </w:tabs>
        <w:ind w:left="1440" w:hanging="1440"/>
        <w:jc w:val="both"/>
        <w:rPr>
          <w:rFonts w:cs="Arial"/>
          <w:szCs w:val="22"/>
        </w:rPr>
      </w:pPr>
      <w:r>
        <w:rPr>
          <w:rFonts w:cs="Arial"/>
          <w:szCs w:val="22"/>
        </w:rPr>
        <w:t>1999-2010</w:t>
      </w:r>
      <w:r>
        <w:rPr>
          <w:rFonts w:cs="Arial"/>
          <w:szCs w:val="22"/>
        </w:rPr>
        <w:tab/>
      </w:r>
      <w:r w:rsidRPr="001A53A9">
        <w:rPr>
          <w:rFonts w:cs="Arial"/>
          <w:szCs w:val="22"/>
        </w:rPr>
        <w:t>Professor of Surgery and Gene and Cell Medicine, Chief Kidney/Pancreas Transplantation, Transplant Research, Transplantation Institute, Mount Sinai School of Medicine</w:t>
      </w:r>
    </w:p>
    <w:p w14:paraId="32182365" w14:textId="6D8F29D9" w:rsidR="00290160" w:rsidRDefault="00290160" w:rsidP="00290160">
      <w:pPr>
        <w:numPr>
          <w:ilvl w:val="1"/>
          <w:numId w:val="20"/>
        </w:numPr>
        <w:tabs>
          <w:tab w:val="left" w:pos="0"/>
          <w:tab w:val="left" w:pos="720"/>
          <w:tab w:val="num" w:pos="1440"/>
        </w:tabs>
        <w:ind w:left="1440"/>
        <w:jc w:val="both"/>
        <w:rPr>
          <w:rFonts w:cs="Arial"/>
          <w:szCs w:val="22"/>
        </w:rPr>
      </w:pPr>
      <w:r w:rsidRPr="001A53A9">
        <w:rPr>
          <w:rFonts w:cs="Arial"/>
          <w:szCs w:val="22"/>
        </w:rPr>
        <w:t>Associate Professor and Full Professor (1998) of Surgery and Microbiology and Immunology, University of Michigan</w:t>
      </w:r>
    </w:p>
    <w:p w14:paraId="6535F69E" w14:textId="77777777" w:rsidR="00290160" w:rsidRPr="00290160" w:rsidRDefault="00290160" w:rsidP="00290160">
      <w:pPr>
        <w:tabs>
          <w:tab w:val="left" w:pos="0"/>
          <w:tab w:val="left" w:pos="720"/>
        </w:tabs>
        <w:jc w:val="both"/>
        <w:rPr>
          <w:rFonts w:cs="Arial"/>
          <w:szCs w:val="22"/>
        </w:rPr>
      </w:pPr>
      <w:r w:rsidRPr="00290160">
        <w:rPr>
          <w:rFonts w:cs="Arial"/>
          <w:szCs w:val="22"/>
        </w:rPr>
        <w:t>1990-1994</w:t>
      </w:r>
      <w:r w:rsidRPr="00290160">
        <w:rPr>
          <w:rFonts w:cs="Arial"/>
          <w:szCs w:val="22"/>
        </w:rPr>
        <w:tab/>
      </w:r>
      <w:r w:rsidRPr="00290160">
        <w:rPr>
          <w:rFonts w:cs="Arial"/>
          <w:szCs w:val="22"/>
        </w:rPr>
        <w:tab/>
        <w:t>Assistant and Associate (1992) Professor of Surgery and Microbiology and Immunology, MUSC</w:t>
      </w:r>
    </w:p>
    <w:p w14:paraId="3FB18897" w14:textId="77777777" w:rsidR="0033047B" w:rsidRPr="001A53A9" w:rsidRDefault="0033047B" w:rsidP="0033047B">
      <w:pPr>
        <w:tabs>
          <w:tab w:val="left" w:pos="720"/>
        </w:tabs>
        <w:ind w:left="1440" w:hanging="1440"/>
        <w:jc w:val="both"/>
        <w:rPr>
          <w:rFonts w:cs="Arial"/>
          <w:szCs w:val="22"/>
        </w:rPr>
      </w:pPr>
      <w:r w:rsidRPr="001A53A9">
        <w:rPr>
          <w:rFonts w:cs="Arial"/>
          <w:szCs w:val="22"/>
        </w:rPr>
        <w:t>1988-1990</w:t>
      </w:r>
      <w:r w:rsidRPr="001A53A9">
        <w:rPr>
          <w:rFonts w:cs="Arial"/>
          <w:szCs w:val="22"/>
        </w:rPr>
        <w:tab/>
        <w:t>Clinical Instructor, Hospital of the University of Pennsylvania</w:t>
      </w:r>
    </w:p>
    <w:p w14:paraId="011538A9" w14:textId="77777777" w:rsidR="005B7EFB" w:rsidRPr="001A53A9" w:rsidRDefault="005B7EFB" w:rsidP="005B7EFB">
      <w:pPr>
        <w:tabs>
          <w:tab w:val="left" w:pos="720"/>
          <w:tab w:val="left" w:pos="1620"/>
        </w:tabs>
        <w:ind w:left="1620" w:hanging="1620"/>
        <w:rPr>
          <w:rFonts w:cs="Arial"/>
          <w:b/>
          <w:szCs w:val="22"/>
          <w:u w:val="single"/>
        </w:rPr>
      </w:pPr>
      <w:r w:rsidRPr="005B7EFB">
        <w:rPr>
          <w:rFonts w:cs="Arial"/>
          <w:b/>
          <w:szCs w:val="22"/>
          <w:u w:val="single"/>
        </w:rPr>
        <w:t>Postgraduate and Postdoctoral Training</w:t>
      </w:r>
    </w:p>
    <w:p w14:paraId="262B5D4C" w14:textId="77777777" w:rsidR="005B7EFB" w:rsidRPr="001A53A9" w:rsidRDefault="005B7EFB" w:rsidP="005B7EFB">
      <w:pPr>
        <w:tabs>
          <w:tab w:val="left" w:pos="0"/>
          <w:tab w:val="left" w:pos="720"/>
        </w:tabs>
        <w:ind w:left="1440" w:hanging="1440"/>
        <w:jc w:val="both"/>
        <w:rPr>
          <w:rFonts w:cs="Arial"/>
          <w:szCs w:val="22"/>
        </w:rPr>
      </w:pPr>
      <w:r w:rsidRPr="001A53A9">
        <w:rPr>
          <w:rFonts w:cs="Arial"/>
          <w:szCs w:val="22"/>
        </w:rPr>
        <w:t>1988-1990</w:t>
      </w:r>
      <w:r w:rsidRPr="001A53A9">
        <w:rPr>
          <w:rFonts w:cs="Arial"/>
          <w:szCs w:val="22"/>
        </w:rPr>
        <w:tab/>
      </w:r>
      <w:r>
        <w:rPr>
          <w:rFonts w:cs="Arial"/>
          <w:szCs w:val="22"/>
        </w:rPr>
        <w:t>Transplant Fellow</w:t>
      </w:r>
      <w:r w:rsidRPr="001A53A9">
        <w:rPr>
          <w:rFonts w:cs="Arial"/>
          <w:szCs w:val="22"/>
        </w:rPr>
        <w:t>, Department of Surgery, University of Pennsylvania, Philadelphia, PA</w:t>
      </w:r>
    </w:p>
    <w:p w14:paraId="68A70566" w14:textId="77777777" w:rsidR="005B7EFB" w:rsidRPr="001A53A9" w:rsidRDefault="005B7EFB" w:rsidP="005B7EFB">
      <w:pPr>
        <w:tabs>
          <w:tab w:val="left" w:pos="1440"/>
        </w:tabs>
        <w:ind w:left="1440" w:hanging="1440"/>
        <w:jc w:val="both"/>
        <w:rPr>
          <w:rFonts w:cs="Arial"/>
          <w:szCs w:val="22"/>
        </w:rPr>
      </w:pPr>
      <w:r w:rsidRPr="001A53A9">
        <w:rPr>
          <w:rFonts w:cs="Arial"/>
          <w:szCs w:val="22"/>
        </w:rPr>
        <w:t>1983-1988</w:t>
      </w:r>
      <w:r w:rsidRPr="001A53A9">
        <w:rPr>
          <w:rFonts w:cs="Arial"/>
          <w:szCs w:val="22"/>
        </w:rPr>
        <w:tab/>
      </w:r>
      <w:r>
        <w:rPr>
          <w:rFonts w:cs="Arial"/>
          <w:szCs w:val="22"/>
        </w:rPr>
        <w:t>R</w:t>
      </w:r>
      <w:r w:rsidRPr="001A53A9">
        <w:rPr>
          <w:rFonts w:cs="Arial"/>
          <w:szCs w:val="22"/>
        </w:rPr>
        <w:t>esident, Department of General Surgery, University of Washington, Seattle, WA</w:t>
      </w:r>
    </w:p>
    <w:p w14:paraId="6A8708C2" w14:textId="77777777" w:rsidR="005B7EFB" w:rsidRPr="001A53A9" w:rsidRDefault="005B7EFB" w:rsidP="005B7EFB">
      <w:pPr>
        <w:tabs>
          <w:tab w:val="left" w:pos="720"/>
          <w:tab w:val="left" w:pos="2160"/>
        </w:tabs>
        <w:ind w:left="1440" w:hanging="1440"/>
        <w:jc w:val="both"/>
        <w:rPr>
          <w:rFonts w:cs="Arial"/>
          <w:szCs w:val="22"/>
        </w:rPr>
      </w:pPr>
      <w:r w:rsidRPr="001A53A9">
        <w:rPr>
          <w:rFonts w:cs="Arial"/>
          <w:szCs w:val="22"/>
        </w:rPr>
        <w:t xml:space="preserve">1977-1978    </w:t>
      </w:r>
      <w:r>
        <w:rPr>
          <w:rFonts w:cs="Arial"/>
          <w:szCs w:val="22"/>
        </w:rPr>
        <w:tab/>
      </w:r>
      <w:r w:rsidRPr="001A53A9">
        <w:rPr>
          <w:rFonts w:cs="Arial"/>
          <w:szCs w:val="22"/>
        </w:rPr>
        <w:t xml:space="preserve">Postgraduate researcher, ICRF Tumor Immunology Unit, University College, London </w:t>
      </w:r>
    </w:p>
    <w:p w14:paraId="70CB9256" w14:textId="77777777" w:rsidR="0033047B" w:rsidRPr="001A53A9" w:rsidRDefault="0033047B" w:rsidP="0033047B">
      <w:pPr>
        <w:ind w:left="2160" w:hanging="2160"/>
        <w:rPr>
          <w:rFonts w:cs="Arial"/>
          <w:szCs w:val="22"/>
        </w:rPr>
      </w:pPr>
      <w:r w:rsidRPr="001A53A9">
        <w:rPr>
          <w:rFonts w:cs="Arial"/>
          <w:b/>
          <w:szCs w:val="22"/>
          <w:u w:val="single"/>
        </w:rPr>
        <w:t>Honors and Awards</w:t>
      </w:r>
    </w:p>
    <w:p w14:paraId="79B3F841" w14:textId="047B68AF" w:rsidR="006A490C" w:rsidRPr="001A53A9" w:rsidRDefault="00531589" w:rsidP="005B7EFB">
      <w:pPr>
        <w:rPr>
          <w:rFonts w:cs="Arial"/>
          <w:szCs w:val="22"/>
        </w:rPr>
      </w:pPr>
      <w:bookmarkStart w:id="0" w:name="_Hlk72156388"/>
      <w:r>
        <w:t xml:space="preserve">2021-MERIT Award NIAID; </w:t>
      </w:r>
      <w:r w:rsidR="006A490C" w:rsidRPr="001A53A9">
        <w:t>2014-NKF of Maryland,</w:t>
      </w:r>
      <w:r w:rsidR="006A490C">
        <w:t xml:space="preserve"> </w:t>
      </w:r>
      <w:r w:rsidR="006A490C" w:rsidRPr="001A53A9">
        <w:t>Kidney Champion Award</w:t>
      </w:r>
      <w:r w:rsidR="006A490C">
        <w:t xml:space="preserve">; </w:t>
      </w:r>
      <w:r w:rsidR="006A490C" w:rsidRPr="001A53A9">
        <w:t>2014-present-</w:t>
      </w:r>
      <w:r w:rsidR="006A490C" w:rsidRPr="001A53A9">
        <w:rPr>
          <w:i/>
        </w:rPr>
        <w:t>Transplantation</w:t>
      </w:r>
      <w:r w:rsidR="006A490C" w:rsidRPr="001A53A9">
        <w:t>, Clinical Sciences Executive</w:t>
      </w:r>
      <w:r w:rsidR="006A490C">
        <w:t xml:space="preserve"> </w:t>
      </w:r>
      <w:r w:rsidR="006A490C" w:rsidRPr="001A53A9">
        <w:t>Editor;</w:t>
      </w:r>
      <w:r w:rsidR="006A490C" w:rsidRPr="006A490C">
        <w:t xml:space="preserve"> </w:t>
      </w:r>
      <w:r w:rsidR="006A490C" w:rsidRPr="001A53A9">
        <w:t>2013-AST Basic Science Established</w:t>
      </w:r>
      <w:r w:rsidR="006A490C">
        <w:t xml:space="preserve"> </w:t>
      </w:r>
      <w:r w:rsidR="006A490C" w:rsidRPr="001A53A9">
        <w:t>Investigator Award;</w:t>
      </w:r>
      <w:r w:rsidR="006A490C" w:rsidRPr="001A53A9">
        <w:rPr>
          <w:rFonts w:ascii="Times New Roman" w:hAnsi="Times New Roman"/>
          <w:sz w:val="24"/>
        </w:rPr>
        <w:t xml:space="preserve"> </w:t>
      </w:r>
      <w:r w:rsidR="006A490C" w:rsidRPr="001A53A9">
        <w:t>2002–</w:t>
      </w:r>
      <w:proofErr w:type="spellStart"/>
      <w:r w:rsidR="006A490C" w:rsidRPr="001A53A9">
        <w:t>Lazarovits</w:t>
      </w:r>
      <w:proofErr w:type="spellEnd"/>
      <w:r w:rsidR="006A490C">
        <w:t xml:space="preserve"> </w:t>
      </w:r>
      <w:r w:rsidR="006A490C" w:rsidRPr="001A53A9">
        <w:t>Commemorative Lecture, Canadian Society of Transplantation; 2000-2005-Journal of Immunology, Section Editor;</w:t>
      </w:r>
      <w:r w:rsidR="006A490C" w:rsidRPr="006A490C">
        <w:t xml:space="preserve"> </w:t>
      </w:r>
      <w:r w:rsidR="006A490C" w:rsidRPr="001A53A9">
        <w:t>2000-2014-</w:t>
      </w:r>
      <w:r w:rsidR="006A490C" w:rsidRPr="001A53A9">
        <w:rPr>
          <w:i/>
        </w:rPr>
        <w:t>American Journal of Transplantation</w:t>
      </w:r>
      <w:r w:rsidR="006A490C" w:rsidRPr="001A53A9">
        <w:t>, Associate Editor, Deputy</w:t>
      </w:r>
      <w:r w:rsidR="006A490C">
        <w:t xml:space="preserve"> </w:t>
      </w:r>
      <w:r w:rsidR="006A490C" w:rsidRPr="001A53A9">
        <w:t xml:space="preserve">Editor, Section Editor for Literature Watch; 1992-present: NIAID, NIDCR, SAT, </w:t>
      </w:r>
      <w:r w:rsidR="001F6822">
        <w:t xml:space="preserve">TTT, </w:t>
      </w:r>
      <w:r w:rsidR="006A490C" w:rsidRPr="001A53A9">
        <w:t>and SBIR study sections; 2001-Roslyn Commemorative Lecture,</w:t>
      </w:r>
      <w:r w:rsidR="006A490C">
        <w:t xml:space="preserve"> </w:t>
      </w:r>
      <w:r w:rsidR="006A490C" w:rsidRPr="001A53A9">
        <w:t>Society of University Surgeons; 1997-Excellence in reviewing, Journal of Surgical Research; 1998-ASTS Roche Presidential Travel</w:t>
      </w:r>
      <w:r w:rsidR="006A490C">
        <w:t xml:space="preserve"> </w:t>
      </w:r>
      <w:r w:rsidR="006A490C" w:rsidRPr="001A53A9">
        <w:t>Award; 1992-Thomas A. and Shirley W. Roe Foundation</w:t>
      </w:r>
      <w:r w:rsidR="006A490C">
        <w:t xml:space="preserve"> </w:t>
      </w:r>
      <w:r w:rsidR="006A490C" w:rsidRPr="001A53A9">
        <w:t>Award; 1992-94</w:t>
      </w:r>
      <w:r w:rsidR="006A490C">
        <w:t xml:space="preserve"> </w:t>
      </w:r>
      <w:r w:rsidR="006A490C" w:rsidRPr="001A53A9">
        <w:t>American Surgical Association Foundation Fellowship Award; 1988-90-Sandoz Award, American Society of Transplant Surgeons;</w:t>
      </w:r>
      <w:r w:rsidR="006A490C">
        <w:t xml:space="preserve"> </w:t>
      </w:r>
      <w:r w:rsidR="006A490C" w:rsidRPr="001A53A9">
        <w:t>1983</w:t>
      </w:r>
      <w:r w:rsidR="006A490C">
        <w:t>-</w:t>
      </w:r>
      <w:r w:rsidR="006A490C" w:rsidRPr="001A53A9">
        <w:t>James Tolbert Shipley Prize; 1979-83-Medical Scientist Training Program Fellowship;</w:t>
      </w:r>
      <w:r w:rsidR="006A490C" w:rsidRPr="006A490C">
        <w:t xml:space="preserve"> </w:t>
      </w:r>
      <w:r w:rsidR="006A490C" w:rsidRPr="001A53A9">
        <w:t>1977-Detur Book</w:t>
      </w:r>
      <w:r w:rsidR="006A490C">
        <w:t xml:space="preserve"> </w:t>
      </w:r>
      <w:r w:rsidR="006A490C" w:rsidRPr="001A53A9">
        <w:t>Prize; 1977-Summa Cum Laude, Biology; 1976-Phi Beta Kappa;</w:t>
      </w:r>
      <w:r w:rsidR="006A490C" w:rsidRPr="006A490C">
        <w:t xml:space="preserve"> </w:t>
      </w:r>
      <w:r w:rsidR="006A490C" w:rsidRPr="001A53A9">
        <w:t>1975,76,77-John Harvard Award;</w:t>
      </w:r>
      <w:r w:rsidR="006A490C" w:rsidRPr="006A490C">
        <w:t xml:space="preserve"> </w:t>
      </w:r>
      <w:r w:rsidR="006A490C" w:rsidRPr="001A53A9">
        <w:t xml:space="preserve">1975-Edwards-Whitaker Award </w:t>
      </w:r>
      <w:bookmarkEnd w:id="0"/>
    </w:p>
    <w:p w14:paraId="2A0D101C" w14:textId="77777777" w:rsidR="0033047B" w:rsidRPr="001A53A9" w:rsidRDefault="0033047B" w:rsidP="0033047B">
      <w:pPr>
        <w:tabs>
          <w:tab w:val="left" w:pos="720"/>
          <w:tab w:val="left" w:pos="2340"/>
        </w:tabs>
        <w:ind w:left="720" w:hanging="720"/>
        <w:jc w:val="both"/>
        <w:rPr>
          <w:rFonts w:cs="Arial"/>
          <w:b/>
          <w:szCs w:val="22"/>
          <w:u w:val="single"/>
        </w:rPr>
      </w:pPr>
      <w:r w:rsidRPr="001A53A9">
        <w:rPr>
          <w:rFonts w:cs="Arial"/>
          <w:b/>
          <w:szCs w:val="22"/>
          <w:u w:val="single"/>
        </w:rPr>
        <w:t>Recent Grant Review Committees and Boards</w:t>
      </w:r>
    </w:p>
    <w:p w14:paraId="3785AD6B" w14:textId="641850C3" w:rsidR="00AE2169" w:rsidRDefault="00AE2169" w:rsidP="00531589">
      <w:pPr>
        <w:tabs>
          <w:tab w:val="left" w:pos="720"/>
          <w:tab w:val="left" w:pos="2340"/>
        </w:tabs>
        <w:ind w:left="720" w:hanging="720"/>
        <w:jc w:val="both"/>
        <w:rPr>
          <w:rFonts w:cs="Arial"/>
          <w:szCs w:val="22"/>
        </w:rPr>
      </w:pPr>
      <w:r w:rsidRPr="00AE2169">
        <w:rPr>
          <w:rFonts w:cs="Arial"/>
          <w:szCs w:val="22"/>
        </w:rPr>
        <w:t>2022-present</w:t>
      </w:r>
      <w:r w:rsidR="008F5C6F">
        <w:rPr>
          <w:rFonts w:cs="Arial"/>
          <w:szCs w:val="22"/>
        </w:rPr>
        <w:t xml:space="preserve">   </w:t>
      </w:r>
      <w:r w:rsidR="008F5C6F" w:rsidRPr="008F5C6F">
        <w:rPr>
          <w:rFonts w:cs="Arial"/>
          <w:szCs w:val="22"/>
        </w:rPr>
        <w:t>Peer Reviewed Medical Research Program (PRMRP) for the Department of Defense Congressionally Directed Medical Research Programs (CDMRP)</w:t>
      </w:r>
      <w:r w:rsidR="008F5C6F">
        <w:rPr>
          <w:rFonts w:cs="Arial"/>
          <w:szCs w:val="22"/>
        </w:rPr>
        <w:t>,</w:t>
      </w:r>
      <w:r w:rsidRPr="00AE2169">
        <w:rPr>
          <w:rFonts w:cs="Arial"/>
          <w:szCs w:val="22"/>
        </w:rPr>
        <w:t xml:space="preserve"> Reconstructive Transplant Research Program, Programmatic Panel Member</w:t>
      </w:r>
    </w:p>
    <w:p w14:paraId="51A737D9" w14:textId="4599C775" w:rsidR="0003555D" w:rsidRDefault="0003555D" w:rsidP="00531589">
      <w:pPr>
        <w:tabs>
          <w:tab w:val="left" w:pos="720"/>
          <w:tab w:val="left" w:pos="2340"/>
        </w:tabs>
        <w:ind w:left="720" w:hanging="720"/>
        <w:jc w:val="both"/>
        <w:rPr>
          <w:rFonts w:cs="Arial"/>
          <w:szCs w:val="22"/>
        </w:rPr>
      </w:pPr>
      <w:r>
        <w:rPr>
          <w:rFonts w:cs="Arial"/>
          <w:szCs w:val="22"/>
        </w:rPr>
        <w:t>2022</w:t>
      </w:r>
      <w:r>
        <w:rPr>
          <w:rFonts w:cs="Arial"/>
          <w:szCs w:val="22"/>
        </w:rPr>
        <w:tab/>
        <w:t>SEP</w:t>
      </w:r>
      <w:r w:rsidRPr="0003555D">
        <w:t xml:space="preserve"> </w:t>
      </w:r>
      <w:r w:rsidRPr="0003555D">
        <w:rPr>
          <w:rFonts w:cs="Arial"/>
          <w:szCs w:val="22"/>
        </w:rPr>
        <w:t>ZRG1 IDIB-J (02) M HIVD</w:t>
      </w:r>
    </w:p>
    <w:p w14:paraId="6259B2EF" w14:textId="0B5EDF3F" w:rsidR="00531589" w:rsidRPr="00531589" w:rsidRDefault="00531589" w:rsidP="00531589">
      <w:pPr>
        <w:tabs>
          <w:tab w:val="left" w:pos="720"/>
          <w:tab w:val="left" w:pos="2340"/>
        </w:tabs>
        <w:ind w:left="720" w:hanging="720"/>
        <w:jc w:val="both"/>
        <w:rPr>
          <w:rFonts w:cs="Arial"/>
          <w:szCs w:val="22"/>
        </w:rPr>
      </w:pPr>
      <w:r w:rsidRPr="00531589">
        <w:rPr>
          <w:rFonts w:cs="Arial"/>
          <w:szCs w:val="22"/>
        </w:rPr>
        <w:t>2021</w:t>
      </w:r>
      <w:r w:rsidRPr="00531589">
        <w:rPr>
          <w:rFonts w:cs="Arial"/>
          <w:szCs w:val="22"/>
        </w:rPr>
        <w:tab/>
      </w:r>
      <w:r>
        <w:rPr>
          <w:rFonts w:cs="Arial"/>
          <w:szCs w:val="22"/>
        </w:rPr>
        <w:t>SEP</w:t>
      </w:r>
      <w:r w:rsidRPr="00531589">
        <w:rPr>
          <w:rFonts w:cs="Arial"/>
          <w:szCs w:val="22"/>
        </w:rPr>
        <w:t xml:space="preserve"> SRG 2021/05 TTT</w:t>
      </w:r>
    </w:p>
    <w:p w14:paraId="26325B7C" w14:textId="581AC870" w:rsidR="00531589" w:rsidRPr="00531589" w:rsidRDefault="00531589" w:rsidP="00531589">
      <w:pPr>
        <w:tabs>
          <w:tab w:val="left" w:pos="720"/>
          <w:tab w:val="left" w:pos="2340"/>
        </w:tabs>
        <w:ind w:left="720" w:hanging="720"/>
        <w:jc w:val="both"/>
        <w:rPr>
          <w:rFonts w:cs="Arial"/>
          <w:szCs w:val="22"/>
        </w:rPr>
      </w:pPr>
      <w:r w:rsidRPr="00531589">
        <w:rPr>
          <w:rFonts w:cs="Arial"/>
          <w:szCs w:val="22"/>
        </w:rPr>
        <w:t>2021</w:t>
      </w:r>
      <w:r w:rsidRPr="00531589">
        <w:rPr>
          <w:rFonts w:cs="Arial"/>
          <w:szCs w:val="22"/>
        </w:rPr>
        <w:tab/>
      </w:r>
      <w:r>
        <w:rPr>
          <w:rFonts w:cs="Arial"/>
          <w:szCs w:val="22"/>
        </w:rPr>
        <w:t>SEP SRG</w:t>
      </w:r>
      <w:r w:rsidRPr="00531589">
        <w:rPr>
          <w:rFonts w:cs="Arial"/>
          <w:szCs w:val="22"/>
        </w:rPr>
        <w:t xml:space="preserve"> 2021/10 ZAI1 LAR-X (M1) 1, PAR-20-072</w:t>
      </w:r>
    </w:p>
    <w:p w14:paraId="74EC63A8" w14:textId="39260BDE" w:rsidR="00531589" w:rsidRPr="00531589" w:rsidRDefault="00531589" w:rsidP="00531589">
      <w:pPr>
        <w:tabs>
          <w:tab w:val="left" w:pos="720"/>
          <w:tab w:val="left" w:pos="2340"/>
        </w:tabs>
        <w:ind w:left="720" w:hanging="720"/>
        <w:jc w:val="both"/>
        <w:rPr>
          <w:rFonts w:cs="Arial"/>
          <w:szCs w:val="22"/>
        </w:rPr>
      </w:pPr>
      <w:r w:rsidRPr="00531589">
        <w:rPr>
          <w:rFonts w:cs="Arial"/>
          <w:szCs w:val="22"/>
        </w:rPr>
        <w:t>2021</w:t>
      </w:r>
      <w:r w:rsidRPr="00531589">
        <w:rPr>
          <w:rFonts w:cs="Arial"/>
          <w:szCs w:val="22"/>
        </w:rPr>
        <w:tab/>
        <w:t>ACTS Study Section, 2021/10 ACTS, ZRG1 ACTS-L (07) S</w:t>
      </w:r>
    </w:p>
    <w:p w14:paraId="72231328" w14:textId="77777777" w:rsidR="00531589" w:rsidRDefault="00531589" w:rsidP="00531589">
      <w:pPr>
        <w:tabs>
          <w:tab w:val="left" w:pos="720"/>
          <w:tab w:val="left" w:pos="2340"/>
        </w:tabs>
        <w:ind w:left="720" w:hanging="720"/>
        <w:jc w:val="both"/>
        <w:rPr>
          <w:rFonts w:cs="Arial"/>
          <w:szCs w:val="22"/>
        </w:rPr>
      </w:pPr>
      <w:r w:rsidRPr="00531589">
        <w:rPr>
          <w:rFonts w:cs="Arial"/>
          <w:szCs w:val="22"/>
        </w:rPr>
        <w:t>2021</w:t>
      </w:r>
      <w:r w:rsidRPr="00531589">
        <w:rPr>
          <w:rFonts w:cs="Arial"/>
          <w:szCs w:val="22"/>
        </w:rPr>
        <w:tab/>
        <w:t>MCBS</w:t>
      </w:r>
      <w:r>
        <w:rPr>
          <w:rFonts w:cs="Arial"/>
          <w:szCs w:val="22"/>
        </w:rPr>
        <w:t xml:space="preserve"> Study Section</w:t>
      </w:r>
      <w:r w:rsidRPr="00531589">
        <w:rPr>
          <w:rFonts w:cs="Arial"/>
          <w:szCs w:val="22"/>
        </w:rPr>
        <w:t>, 2022/01 MCBS (JA) 1, NHLBI</w:t>
      </w:r>
    </w:p>
    <w:p w14:paraId="741492BA" w14:textId="6C78D227" w:rsidR="00FD0D9C" w:rsidRDefault="00FD0D9C" w:rsidP="00531589">
      <w:pPr>
        <w:tabs>
          <w:tab w:val="left" w:pos="720"/>
          <w:tab w:val="left" w:pos="2340"/>
        </w:tabs>
        <w:ind w:left="720" w:hanging="720"/>
        <w:jc w:val="both"/>
        <w:rPr>
          <w:rFonts w:cs="Arial"/>
          <w:szCs w:val="22"/>
        </w:rPr>
      </w:pPr>
      <w:r w:rsidRPr="00283334">
        <w:rPr>
          <w:rFonts w:cs="Arial"/>
          <w:szCs w:val="22"/>
        </w:rPr>
        <w:t>2020</w:t>
      </w:r>
      <w:r w:rsidRPr="00283334">
        <w:rPr>
          <w:rFonts w:cs="Arial"/>
          <w:szCs w:val="22"/>
        </w:rPr>
        <w:tab/>
        <w:t>Immune Tolerance Network 10 ZAI1 TC-I (S3) R</w:t>
      </w:r>
    </w:p>
    <w:p w14:paraId="7DBFB6DF" w14:textId="77777777" w:rsidR="00FD0D9C" w:rsidRPr="00283334" w:rsidRDefault="00FD0D9C" w:rsidP="00FD0D9C">
      <w:pPr>
        <w:tabs>
          <w:tab w:val="left" w:pos="720"/>
          <w:tab w:val="left" w:pos="2340"/>
        </w:tabs>
        <w:ind w:left="720" w:hanging="720"/>
        <w:jc w:val="both"/>
        <w:rPr>
          <w:rFonts w:cs="Arial"/>
          <w:szCs w:val="22"/>
        </w:rPr>
      </w:pPr>
      <w:r w:rsidRPr="00283334">
        <w:rPr>
          <w:rFonts w:cs="Arial"/>
          <w:szCs w:val="22"/>
        </w:rPr>
        <w:t>2020</w:t>
      </w:r>
      <w:r w:rsidRPr="00283334">
        <w:rPr>
          <w:rFonts w:cs="Arial"/>
          <w:szCs w:val="22"/>
        </w:rPr>
        <w:tab/>
        <w:t>ZRG1 IMM-C02 M Special Emphasis Panel (SEP)</w:t>
      </w:r>
      <w:r>
        <w:rPr>
          <w:rFonts w:cs="Arial"/>
          <w:szCs w:val="22"/>
        </w:rPr>
        <w:t>, chair</w:t>
      </w:r>
    </w:p>
    <w:p w14:paraId="36287564" w14:textId="77777777" w:rsidR="00FD0D9C" w:rsidRPr="00283334" w:rsidRDefault="00FD0D9C" w:rsidP="00FD0D9C">
      <w:pPr>
        <w:tabs>
          <w:tab w:val="left" w:pos="720"/>
          <w:tab w:val="left" w:pos="2340"/>
        </w:tabs>
        <w:ind w:left="720" w:hanging="720"/>
        <w:jc w:val="both"/>
        <w:rPr>
          <w:rFonts w:cs="Arial"/>
          <w:szCs w:val="22"/>
        </w:rPr>
      </w:pPr>
      <w:r w:rsidRPr="00283334">
        <w:rPr>
          <w:rFonts w:cs="Arial"/>
          <w:szCs w:val="22"/>
        </w:rPr>
        <w:t>2020</w:t>
      </w:r>
      <w:r w:rsidRPr="00283334">
        <w:rPr>
          <w:rFonts w:cs="Arial"/>
          <w:szCs w:val="22"/>
        </w:rPr>
        <w:tab/>
        <w:t>Sir Charles Gairdner and Osborne Park Health Care Group (SCGOPHCG), Charlies Foundation for Research</w:t>
      </w:r>
    </w:p>
    <w:p w14:paraId="5A00C998" w14:textId="77777777" w:rsidR="00FD0D9C" w:rsidRPr="00283334" w:rsidRDefault="00FD0D9C" w:rsidP="00FD0D9C">
      <w:pPr>
        <w:tabs>
          <w:tab w:val="left" w:pos="720"/>
          <w:tab w:val="left" w:pos="2340"/>
        </w:tabs>
        <w:ind w:left="720" w:hanging="720"/>
        <w:jc w:val="both"/>
        <w:rPr>
          <w:rFonts w:cs="Arial"/>
          <w:szCs w:val="22"/>
        </w:rPr>
      </w:pPr>
      <w:r w:rsidRPr="00283334">
        <w:rPr>
          <w:rFonts w:cs="Arial"/>
          <w:szCs w:val="22"/>
        </w:rPr>
        <w:t>2020</w:t>
      </w:r>
      <w:r w:rsidRPr="00283334">
        <w:rPr>
          <w:rFonts w:cs="Arial"/>
          <w:szCs w:val="22"/>
        </w:rPr>
        <w:tab/>
        <w:t>British Heart Foundation Clinical Study Grant</w:t>
      </w:r>
    </w:p>
    <w:p w14:paraId="692A3944" w14:textId="77777777" w:rsidR="00FD0D9C" w:rsidRPr="00283334" w:rsidRDefault="00FD0D9C" w:rsidP="00FD0D9C">
      <w:pPr>
        <w:tabs>
          <w:tab w:val="left" w:pos="720"/>
          <w:tab w:val="left" w:pos="2340"/>
        </w:tabs>
        <w:ind w:left="720" w:hanging="720"/>
        <w:jc w:val="both"/>
        <w:rPr>
          <w:rFonts w:cs="Arial"/>
          <w:szCs w:val="22"/>
        </w:rPr>
      </w:pPr>
      <w:r w:rsidRPr="00283334">
        <w:rPr>
          <w:rFonts w:cs="Arial"/>
          <w:szCs w:val="22"/>
        </w:rPr>
        <w:t>2020</w:t>
      </w:r>
      <w:r w:rsidRPr="00283334">
        <w:rPr>
          <w:rFonts w:cs="Arial"/>
          <w:szCs w:val="22"/>
        </w:rPr>
        <w:tab/>
        <w:t>NIAID Special Emphasis Panel/Scientific Review Group 2020/05 ZAI1 JTS-I (M1) 2</w:t>
      </w:r>
    </w:p>
    <w:p w14:paraId="754482B8" w14:textId="77777777" w:rsidR="00FD0D9C" w:rsidRPr="00283334" w:rsidRDefault="00FD0D9C" w:rsidP="00FD0D9C">
      <w:pPr>
        <w:tabs>
          <w:tab w:val="left" w:pos="720"/>
          <w:tab w:val="left" w:pos="2340"/>
        </w:tabs>
        <w:ind w:left="720" w:hanging="720"/>
        <w:jc w:val="both"/>
        <w:rPr>
          <w:rFonts w:cs="Arial"/>
          <w:szCs w:val="22"/>
        </w:rPr>
      </w:pPr>
      <w:r w:rsidRPr="00283334">
        <w:rPr>
          <w:rFonts w:cs="Arial"/>
          <w:szCs w:val="22"/>
        </w:rPr>
        <w:t>2019</w:t>
      </w:r>
      <w:r w:rsidRPr="00283334">
        <w:rPr>
          <w:rFonts w:cs="Arial"/>
          <w:szCs w:val="22"/>
        </w:rPr>
        <w:tab/>
        <w:t>KDIGO Nomenclature Consensus Conference</w:t>
      </w:r>
    </w:p>
    <w:p w14:paraId="6A7C4B55" w14:textId="77777777" w:rsidR="00FD0D9C" w:rsidRPr="00283334" w:rsidRDefault="00FD0D9C" w:rsidP="00FD0D9C">
      <w:pPr>
        <w:tabs>
          <w:tab w:val="left" w:pos="720"/>
          <w:tab w:val="left" w:pos="2340"/>
        </w:tabs>
        <w:ind w:left="720" w:hanging="720"/>
        <w:jc w:val="both"/>
        <w:rPr>
          <w:rFonts w:cs="Arial"/>
          <w:szCs w:val="22"/>
        </w:rPr>
      </w:pPr>
      <w:r w:rsidRPr="00283334">
        <w:rPr>
          <w:rFonts w:cs="Arial"/>
          <w:szCs w:val="22"/>
        </w:rPr>
        <w:t>2018</w:t>
      </w:r>
      <w:r w:rsidRPr="00283334">
        <w:rPr>
          <w:rFonts w:cs="Arial"/>
          <w:szCs w:val="22"/>
        </w:rPr>
        <w:tab/>
        <w:t>NIAID Clinical Trial Planning Grants (R34) 201810 ZAI1 TC-I (S1) 1 Review Committee, Chair</w:t>
      </w:r>
    </w:p>
    <w:p w14:paraId="70A4C56E" w14:textId="77777777" w:rsidR="00FD0D9C" w:rsidRPr="00283334" w:rsidRDefault="00FD0D9C" w:rsidP="00FD0D9C">
      <w:pPr>
        <w:tabs>
          <w:tab w:val="left" w:pos="720"/>
          <w:tab w:val="left" w:pos="2340"/>
        </w:tabs>
        <w:ind w:left="720" w:hanging="720"/>
        <w:jc w:val="both"/>
        <w:rPr>
          <w:rFonts w:cs="Arial"/>
          <w:szCs w:val="22"/>
        </w:rPr>
      </w:pPr>
      <w:r w:rsidRPr="00283334">
        <w:rPr>
          <w:rFonts w:cs="Arial"/>
          <w:szCs w:val="22"/>
        </w:rPr>
        <w:t>2018</w:t>
      </w:r>
      <w:r w:rsidRPr="00283334">
        <w:rPr>
          <w:rFonts w:cs="Arial"/>
          <w:szCs w:val="22"/>
        </w:rPr>
        <w:tab/>
        <w:t>CDRMP Reconstructive Transplant Research Program (RTRP) Immune System Regulation (ISR), Chair</w:t>
      </w:r>
    </w:p>
    <w:p w14:paraId="4E6033BE" w14:textId="77777777" w:rsidR="002C51BC" w:rsidRPr="00A128A0" w:rsidRDefault="002C51BC" w:rsidP="002C51BC">
      <w:pPr>
        <w:pStyle w:val="DataField11pt-Single"/>
        <w:rPr>
          <w:rStyle w:val="Strong"/>
        </w:rPr>
      </w:pPr>
    </w:p>
    <w:p w14:paraId="0D89B24D" w14:textId="77777777" w:rsidR="0033047B" w:rsidRDefault="002C51BC" w:rsidP="0033047B">
      <w:pPr>
        <w:tabs>
          <w:tab w:val="left" w:pos="0"/>
          <w:tab w:val="left" w:pos="2340"/>
        </w:tabs>
        <w:rPr>
          <w:rStyle w:val="Strong"/>
        </w:rPr>
      </w:pPr>
      <w:r w:rsidRPr="00A128A0">
        <w:rPr>
          <w:rStyle w:val="Strong"/>
        </w:rPr>
        <w:t>C.</w:t>
      </w:r>
      <w:r w:rsidR="0033047B">
        <w:rPr>
          <w:rStyle w:val="Strong"/>
        </w:rPr>
        <w:t xml:space="preserve">         </w:t>
      </w:r>
      <w:r w:rsidRPr="00A128A0">
        <w:rPr>
          <w:rStyle w:val="Strong"/>
        </w:rPr>
        <w:t>Contributions to Science</w:t>
      </w:r>
    </w:p>
    <w:p w14:paraId="628F3876" w14:textId="7E29E6FF" w:rsidR="0033047B" w:rsidRPr="001A53A9" w:rsidRDefault="0033047B" w:rsidP="0033047B">
      <w:pPr>
        <w:tabs>
          <w:tab w:val="left" w:pos="0"/>
          <w:tab w:val="left" w:pos="2340"/>
        </w:tabs>
        <w:jc w:val="both"/>
        <w:rPr>
          <w:rFonts w:cs="Arial"/>
          <w:szCs w:val="22"/>
        </w:rPr>
      </w:pPr>
      <w:r w:rsidRPr="001A53A9">
        <w:rPr>
          <w:rFonts w:cs="Arial"/>
          <w:b/>
          <w:szCs w:val="22"/>
        </w:rPr>
        <w:t>1.</w:t>
      </w:r>
      <w:r w:rsidRPr="001A53A9">
        <w:rPr>
          <w:rFonts w:cs="Arial"/>
          <w:szCs w:val="22"/>
        </w:rPr>
        <w:t xml:space="preserve"> Major questions in organ transplant are </w:t>
      </w:r>
      <w:r w:rsidRPr="001A53A9">
        <w:rPr>
          <w:rFonts w:cs="Arial"/>
          <w:b/>
          <w:szCs w:val="22"/>
          <w:u w:val="single"/>
        </w:rPr>
        <w:t xml:space="preserve">where </w:t>
      </w:r>
      <w:proofErr w:type="gramStart"/>
      <w:r w:rsidRPr="001A53A9">
        <w:rPr>
          <w:rFonts w:cs="Arial"/>
          <w:b/>
          <w:szCs w:val="22"/>
          <w:u w:val="single"/>
        </w:rPr>
        <w:t>does tolerance take</w:t>
      </w:r>
      <w:proofErr w:type="gramEnd"/>
      <w:r w:rsidRPr="001A53A9">
        <w:rPr>
          <w:rFonts w:cs="Arial"/>
          <w:b/>
          <w:szCs w:val="22"/>
          <w:u w:val="single"/>
        </w:rPr>
        <w:t xml:space="preserve"> place and what processes determine the choice between tolerance and immunity</w:t>
      </w:r>
      <w:r w:rsidRPr="001A53A9">
        <w:rPr>
          <w:rFonts w:cs="Arial"/>
          <w:szCs w:val="22"/>
        </w:rPr>
        <w:t>. Using pharmacologic and genetic approaches, my lab demonstrated that normal lymph node functions and structures are required for tolerance induction and maintenance. We demonstrated the requirement for CD4+ T cell migration from blood into lymph nodes, regulated by a variety of selectins, integrins, and chemokines, that determine T cell anergy, apoptosis, and regulatory T cell induction and suppression. In addition, plasmacytoid dendritic cells (</w:t>
      </w:r>
      <w:proofErr w:type="spellStart"/>
      <w:r w:rsidRPr="001A53A9">
        <w:rPr>
          <w:rFonts w:cs="Arial"/>
          <w:szCs w:val="22"/>
        </w:rPr>
        <w:t>pDC</w:t>
      </w:r>
      <w:proofErr w:type="spellEnd"/>
      <w:r w:rsidRPr="001A53A9">
        <w:rPr>
          <w:rFonts w:cs="Arial"/>
          <w:szCs w:val="22"/>
        </w:rPr>
        <w:t xml:space="preserve">) are also required to </w:t>
      </w:r>
      <w:r w:rsidRPr="001A53A9">
        <w:rPr>
          <w:rFonts w:cs="Arial"/>
          <w:szCs w:val="22"/>
        </w:rPr>
        <w:lastRenderedPageBreak/>
        <w:t>migrate into lymph nodes and present alloantigen to T cells. These studies provided novel evidence for active roles of the lymph node in determining the fate of T cells and the immune response.</w:t>
      </w:r>
    </w:p>
    <w:p w14:paraId="2B75E7AD" w14:textId="77777777" w:rsidR="0033047B" w:rsidRPr="001A53A9" w:rsidRDefault="0033047B" w:rsidP="0033047B">
      <w:pPr>
        <w:tabs>
          <w:tab w:val="left" w:pos="0"/>
          <w:tab w:val="left" w:pos="360"/>
        </w:tabs>
        <w:ind w:left="720" w:hanging="720"/>
        <w:jc w:val="both"/>
        <w:rPr>
          <w:rFonts w:cs="Arial"/>
          <w:szCs w:val="22"/>
        </w:rPr>
      </w:pPr>
      <w:r w:rsidRPr="001A53A9">
        <w:rPr>
          <w:rFonts w:cs="Arial"/>
          <w:szCs w:val="22"/>
        </w:rPr>
        <w:tab/>
      </w:r>
      <w:r w:rsidRPr="001A53A9">
        <w:rPr>
          <w:rFonts w:cs="Arial"/>
          <w:b/>
          <w:szCs w:val="22"/>
        </w:rPr>
        <w:t>a.</w:t>
      </w:r>
      <w:r>
        <w:rPr>
          <w:rFonts w:cs="Arial"/>
          <w:szCs w:val="22"/>
        </w:rPr>
        <w:tab/>
      </w:r>
      <w:r w:rsidRPr="001A53A9">
        <w:rPr>
          <w:rFonts w:cs="Arial"/>
          <w:szCs w:val="22"/>
        </w:rPr>
        <w:t xml:space="preserve">Bai Y, Liu J, Wang Y, Honig S, Qin L, </w:t>
      </w:r>
      <w:proofErr w:type="spellStart"/>
      <w:r w:rsidRPr="001A53A9">
        <w:rPr>
          <w:rFonts w:cs="Arial"/>
          <w:szCs w:val="22"/>
        </w:rPr>
        <w:t>Boros</w:t>
      </w:r>
      <w:proofErr w:type="spellEnd"/>
      <w:r w:rsidRPr="001A53A9">
        <w:rPr>
          <w:rFonts w:cs="Arial"/>
          <w:szCs w:val="22"/>
        </w:rPr>
        <w:t xml:space="preserve"> P, Bromberg JS. L-selectin dependent lymphoid occupancy is required to induce alloantigen specific tolerance. J. Immunol., 2002, 168:1579-1589.</w:t>
      </w:r>
    </w:p>
    <w:p w14:paraId="6545A566" w14:textId="77777777" w:rsidR="0033047B" w:rsidRPr="001A53A9" w:rsidRDefault="0033047B" w:rsidP="0033047B">
      <w:pPr>
        <w:tabs>
          <w:tab w:val="left" w:pos="0"/>
          <w:tab w:val="left" w:pos="360"/>
        </w:tabs>
        <w:ind w:left="720" w:hanging="720"/>
        <w:jc w:val="both"/>
        <w:rPr>
          <w:rFonts w:cs="Arial"/>
          <w:szCs w:val="22"/>
        </w:rPr>
      </w:pPr>
      <w:r w:rsidRPr="001A53A9">
        <w:rPr>
          <w:rFonts w:cs="Arial"/>
          <w:szCs w:val="22"/>
        </w:rPr>
        <w:tab/>
      </w:r>
      <w:r w:rsidRPr="001A53A9">
        <w:rPr>
          <w:rFonts w:cs="Arial"/>
          <w:b/>
          <w:szCs w:val="22"/>
        </w:rPr>
        <w:t>b.</w:t>
      </w:r>
      <w:r>
        <w:rPr>
          <w:rFonts w:cs="Arial"/>
          <w:b/>
          <w:szCs w:val="22"/>
        </w:rPr>
        <w:tab/>
      </w:r>
      <w:proofErr w:type="spellStart"/>
      <w:r w:rsidRPr="001A53A9">
        <w:rPr>
          <w:rFonts w:cs="Arial"/>
          <w:szCs w:val="22"/>
        </w:rPr>
        <w:t>Ochando</w:t>
      </w:r>
      <w:proofErr w:type="spellEnd"/>
      <w:r w:rsidRPr="001A53A9">
        <w:rPr>
          <w:rFonts w:cs="Arial"/>
          <w:szCs w:val="22"/>
        </w:rPr>
        <w:t xml:space="preserve"> JC, </w:t>
      </w:r>
      <w:proofErr w:type="spellStart"/>
      <w:r w:rsidRPr="001A53A9">
        <w:rPr>
          <w:rFonts w:cs="Arial"/>
          <w:szCs w:val="22"/>
        </w:rPr>
        <w:t>Yopp</w:t>
      </w:r>
      <w:proofErr w:type="spellEnd"/>
      <w:r w:rsidRPr="001A53A9">
        <w:rPr>
          <w:rFonts w:cs="Arial"/>
          <w:szCs w:val="22"/>
        </w:rPr>
        <w:t xml:space="preserve"> AC, Yang Y, Li Y, </w:t>
      </w:r>
      <w:proofErr w:type="spellStart"/>
      <w:r w:rsidRPr="001A53A9">
        <w:rPr>
          <w:rFonts w:cs="Arial"/>
          <w:szCs w:val="22"/>
        </w:rPr>
        <w:t>Boros</w:t>
      </w:r>
      <w:proofErr w:type="spellEnd"/>
      <w:r w:rsidRPr="001A53A9">
        <w:rPr>
          <w:rFonts w:cs="Arial"/>
          <w:szCs w:val="22"/>
        </w:rPr>
        <w:t xml:space="preserve"> P, Llodra J, Ding Y, Krieger N, Bromberg JS. Lymph node occupancy is required for the peripheral development of </w:t>
      </w:r>
      <w:proofErr w:type="gramStart"/>
      <w:r w:rsidRPr="001A53A9">
        <w:rPr>
          <w:rFonts w:cs="Arial"/>
          <w:szCs w:val="22"/>
        </w:rPr>
        <w:t>alloantigen-specific</w:t>
      </w:r>
      <w:proofErr w:type="gramEnd"/>
      <w:r w:rsidRPr="001A53A9">
        <w:rPr>
          <w:rFonts w:cs="Arial"/>
          <w:szCs w:val="22"/>
        </w:rPr>
        <w:t xml:space="preserve"> Foxp3+ regulatory T cells. J. Immunol., 2005, 174:6993-7005. PMID: 15905542</w:t>
      </w:r>
    </w:p>
    <w:p w14:paraId="3BE713D2" w14:textId="77777777" w:rsidR="0033047B" w:rsidRPr="001A53A9" w:rsidRDefault="0033047B" w:rsidP="0033047B">
      <w:pPr>
        <w:tabs>
          <w:tab w:val="left" w:pos="0"/>
          <w:tab w:val="left" w:pos="360"/>
        </w:tabs>
        <w:ind w:left="720" w:hanging="720"/>
        <w:jc w:val="both"/>
        <w:rPr>
          <w:rFonts w:cs="Arial"/>
          <w:szCs w:val="22"/>
        </w:rPr>
      </w:pPr>
      <w:r w:rsidRPr="001A53A9">
        <w:rPr>
          <w:rFonts w:cs="Arial"/>
          <w:szCs w:val="22"/>
        </w:rPr>
        <w:tab/>
      </w:r>
      <w:r w:rsidRPr="001A53A9">
        <w:rPr>
          <w:rFonts w:cs="Arial"/>
          <w:b/>
          <w:szCs w:val="22"/>
        </w:rPr>
        <w:t>c.</w:t>
      </w:r>
      <w:r>
        <w:rPr>
          <w:rFonts w:cs="Arial"/>
          <w:szCs w:val="22"/>
        </w:rPr>
        <w:tab/>
      </w:r>
      <w:proofErr w:type="spellStart"/>
      <w:r w:rsidRPr="001A53A9">
        <w:rPr>
          <w:rFonts w:cs="Arial"/>
          <w:szCs w:val="22"/>
        </w:rPr>
        <w:t>Ochando</w:t>
      </w:r>
      <w:proofErr w:type="spellEnd"/>
      <w:r w:rsidRPr="001A53A9">
        <w:rPr>
          <w:rFonts w:cs="Arial"/>
          <w:szCs w:val="22"/>
        </w:rPr>
        <w:t xml:space="preserve"> JC, Homma C, Yang Y, Hidalgo A, </w:t>
      </w:r>
      <w:proofErr w:type="spellStart"/>
      <w:r w:rsidRPr="001A53A9">
        <w:rPr>
          <w:rFonts w:cs="Arial"/>
          <w:szCs w:val="22"/>
        </w:rPr>
        <w:t>Garin</w:t>
      </w:r>
      <w:proofErr w:type="spellEnd"/>
      <w:r w:rsidRPr="001A53A9">
        <w:rPr>
          <w:rFonts w:cs="Arial"/>
          <w:szCs w:val="22"/>
        </w:rPr>
        <w:t xml:space="preserve"> A, </w:t>
      </w:r>
      <w:proofErr w:type="spellStart"/>
      <w:r w:rsidRPr="001A53A9">
        <w:rPr>
          <w:rFonts w:cs="Arial"/>
          <w:szCs w:val="22"/>
        </w:rPr>
        <w:t>Tacke</w:t>
      </w:r>
      <w:proofErr w:type="spellEnd"/>
      <w:r w:rsidRPr="001A53A9">
        <w:rPr>
          <w:rFonts w:cs="Arial"/>
          <w:szCs w:val="22"/>
        </w:rPr>
        <w:t xml:space="preserve"> F, </w:t>
      </w:r>
      <w:proofErr w:type="spellStart"/>
      <w:r w:rsidRPr="001A53A9">
        <w:rPr>
          <w:rFonts w:cs="Arial"/>
          <w:szCs w:val="22"/>
        </w:rPr>
        <w:t>Angeli</w:t>
      </w:r>
      <w:proofErr w:type="spellEnd"/>
      <w:r w:rsidRPr="001A53A9">
        <w:rPr>
          <w:rFonts w:cs="Arial"/>
          <w:szCs w:val="22"/>
        </w:rPr>
        <w:t xml:space="preserve"> V, Li Y, </w:t>
      </w:r>
      <w:proofErr w:type="spellStart"/>
      <w:r w:rsidRPr="001A53A9">
        <w:rPr>
          <w:rFonts w:cs="Arial"/>
          <w:szCs w:val="22"/>
        </w:rPr>
        <w:t>Boros</w:t>
      </w:r>
      <w:proofErr w:type="spellEnd"/>
      <w:r w:rsidRPr="001A53A9">
        <w:rPr>
          <w:rFonts w:cs="Arial"/>
          <w:szCs w:val="22"/>
        </w:rPr>
        <w:t xml:space="preserve"> P, Ding Y, </w:t>
      </w:r>
      <w:proofErr w:type="spellStart"/>
      <w:r w:rsidRPr="001A53A9">
        <w:rPr>
          <w:rFonts w:cs="Arial"/>
          <w:szCs w:val="22"/>
        </w:rPr>
        <w:t>Jessberger</w:t>
      </w:r>
      <w:proofErr w:type="spellEnd"/>
      <w:r w:rsidRPr="001A53A9">
        <w:rPr>
          <w:rFonts w:cs="Arial"/>
          <w:szCs w:val="22"/>
        </w:rPr>
        <w:t xml:space="preserve"> R, Lira SA, Randolph GJ, Bromberg JS</w:t>
      </w:r>
      <w:r>
        <w:rPr>
          <w:rFonts w:cs="Arial"/>
          <w:szCs w:val="22"/>
        </w:rPr>
        <w:t>.</w:t>
      </w:r>
      <w:r w:rsidRPr="001A53A9">
        <w:rPr>
          <w:rFonts w:cs="Arial"/>
          <w:szCs w:val="22"/>
        </w:rPr>
        <w:t xml:space="preserve">  Alloantigen-presenting plasmacytoid dendritic cells mediate tolerance to vascularized grafts. Nature Immunol., 2006, 7:652-662. PMID: 16633346</w:t>
      </w:r>
    </w:p>
    <w:p w14:paraId="2AF029FF" w14:textId="087F45FC" w:rsidR="0033047B" w:rsidRPr="001A53A9" w:rsidRDefault="0033047B" w:rsidP="0033047B">
      <w:pPr>
        <w:tabs>
          <w:tab w:val="left" w:pos="0"/>
          <w:tab w:val="left" w:pos="360"/>
        </w:tabs>
        <w:ind w:left="720" w:hanging="720"/>
        <w:jc w:val="both"/>
        <w:rPr>
          <w:rFonts w:cs="Arial"/>
          <w:szCs w:val="22"/>
        </w:rPr>
      </w:pPr>
      <w:r w:rsidRPr="001A53A9">
        <w:rPr>
          <w:rFonts w:cs="Arial"/>
          <w:szCs w:val="22"/>
        </w:rPr>
        <w:tab/>
      </w:r>
      <w:r w:rsidRPr="001A53A9">
        <w:rPr>
          <w:rFonts w:cs="Arial"/>
          <w:b/>
          <w:szCs w:val="22"/>
        </w:rPr>
        <w:t>d.</w:t>
      </w:r>
      <w:r>
        <w:rPr>
          <w:rFonts w:cs="Arial"/>
          <w:szCs w:val="22"/>
        </w:rPr>
        <w:tab/>
      </w:r>
      <w:r w:rsidR="0074479F" w:rsidRPr="0074479F">
        <w:rPr>
          <w:rFonts w:cs="Arial"/>
          <w:szCs w:val="22"/>
        </w:rPr>
        <w:t xml:space="preserve">Piao W, Li L, Saxena V, Iyyathurai J, Lakhan R, Zhang Y, Tadeval Lape I, Paluskievicz C, Hippen KL, Lee Y, Silverman E, </w:t>
      </w:r>
      <w:proofErr w:type="spellStart"/>
      <w:r w:rsidR="0074479F" w:rsidRPr="0074479F">
        <w:rPr>
          <w:rFonts w:cs="Arial"/>
          <w:szCs w:val="22"/>
        </w:rPr>
        <w:t>Willsonshirky</w:t>
      </w:r>
      <w:proofErr w:type="spellEnd"/>
      <w:r w:rsidR="0074479F" w:rsidRPr="0074479F">
        <w:rPr>
          <w:rFonts w:cs="Arial"/>
          <w:szCs w:val="22"/>
        </w:rPr>
        <w:t xml:space="preserve"> M, </w:t>
      </w:r>
      <w:proofErr w:type="spellStart"/>
      <w:r w:rsidR="0074479F" w:rsidRPr="0074479F">
        <w:rPr>
          <w:rFonts w:cs="Arial"/>
          <w:szCs w:val="22"/>
        </w:rPr>
        <w:t>Riella</w:t>
      </w:r>
      <w:proofErr w:type="spellEnd"/>
      <w:r w:rsidR="0074479F" w:rsidRPr="0074479F">
        <w:rPr>
          <w:rFonts w:cs="Arial"/>
          <w:szCs w:val="22"/>
        </w:rPr>
        <w:t xml:space="preserve"> RV, Blazar BR, Bromberg JS. PD-L1 signaling selectively regulates lymphatic </w:t>
      </w:r>
      <w:proofErr w:type="spellStart"/>
      <w:r w:rsidR="0074479F" w:rsidRPr="0074479F">
        <w:rPr>
          <w:rFonts w:cs="Arial"/>
          <w:szCs w:val="22"/>
        </w:rPr>
        <w:t>transendothelial</w:t>
      </w:r>
      <w:proofErr w:type="spellEnd"/>
      <w:r w:rsidR="0074479F" w:rsidRPr="0074479F">
        <w:rPr>
          <w:rFonts w:cs="Arial"/>
          <w:szCs w:val="22"/>
        </w:rPr>
        <w:t xml:space="preserve"> migration. Nature Communications 2022, 13:2176.</w:t>
      </w:r>
      <w:r w:rsidR="0074479F" w:rsidRPr="0074479F">
        <w:t xml:space="preserve"> </w:t>
      </w:r>
      <w:r w:rsidR="0074479F" w:rsidRPr="0074479F">
        <w:rPr>
          <w:rFonts w:cs="Arial"/>
          <w:szCs w:val="22"/>
        </w:rPr>
        <w:t>PMID: 35449134</w:t>
      </w:r>
    </w:p>
    <w:p w14:paraId="5A87D2C8" w14:textId="77777777" w:rsidR="0033047B" w:rsidRPr="001A53A9" w:rsidRDefault="0033047B" w:rsidP="0033047B">
      <w:pPr>
        <w:tabs>
          <w:tab w:val="left" w:pos="0"/>
          <w:tab w:val="left" w:pos="2340"/>
        </w:tabs>
        <w:spacing w:before="120"/>
        <w:jc w:val="both"/>
        <w:rPr>
          <w:rFonts w:cs="Arial"/>
          <w:szCs w:val="22"/>
        </w:rPr>
      </w:pPr>
      <w:r w:rsidRPr="001A53A9">
        <w:rPr>
          <w:rFonts w:cs="Arial"/>
          <w:b/>
          <w:szCs w:val="22"/>
        </w:rPr>
        <w:t>2.</w:t>
      </w:r>
      <w:r w:rsidRPr="001A53A9">
        <w:rPr>
          <w:rFonts w:cs="Arial"/>
          <w:szCs w:val="22"/>
        </w:rPr>
        <w:t xml:space="preserve"> The understanding of </w:t>
      </w:r>
      <w:r w:rsidRPr="001A53A9">
        <w:rPr>
          <w:rFonts w:cs="Arial"/>
          <w:b/>
          <w:szCs w:val="22"/>
          <w:u w:val="single"/>
        </w:rPr>
        <w:t>induction, stimulation, maintenance, and activity of FoxP3+ CD4+ suppressive regulatory T cells (Treg</w:t>
      </w:r>
      <w:r w:rsidRPr="001A53A9">
        <w:rPr>
          <w:rFonts w:cs="Arial"/>
          <w:b/>
          <w:szCs w:val="22"/>
        </w:rPr>
        <w:t>)</w:t>
      </w:r>
      <w:r w:rsidRPr="001A53A9">
        <w:rPr>
          <w:rFonts w:cs="Arial"/>
          <w:szCs w:val="22"/>
        </w:rPr>
        <w:t xml:space="preserve"> is critical to manipulating immunity. We were </w:t>
      </w:r>
      <w:r>
        <w:rPr>
          <w:rFonts w:cs="Arial"/>
          <w:szCs w:val="22"/>
        </w:rPr>
        <w:t>among</w:t>
      </w:r>
      <w:r w:rsidRPr="001A53A9">
        <w:rPr>
          <w:rFonts w:cs="Arial"/>
          <w:szCs w:val="22"/>
        </w:rPr>
        <w:t xml:space="preserve"> the first to demonstrate that TGF</w:t>
      </w:r>
      <w:r w:rsidRPr="001A53A9">
        <w:rPr>
          <w:rFonts w:ascii="Symbol" w:hAnsi="Symbol" w:cs="Arial"/>
          <w:szCs w:val="22"/>
        </w:rPr>
        <w:t></w:t>
      </w:r>
      <w:r w:rsidRPr="001A53A9">
        <w:rPr>
          <w:rFonts w:cs="Arial"/>
          <w:szCs w:val="22"/>
        </w:rPr>
        <w:t xml:space="preserve"> is required for Treg induction, and that inflammatory stimuli and cytokines can inhibit Foxp3 induction or stability. Epigenetic regulation of the </w:t>
      </w:r>
      <w:r w:rsidRPr="001A53A9">
        <w:rPr>
          <w:rFonts w:cs="Arial"/>
          <w:i/>
          <w:szCs w:val="22"/>
        </w:rPr>
        <w:t>Foxp3</w:t>
      </w:r>
      <w:r w:rsidRPr="001A53A9">
        <w:rPr>
          <w:rFonts w:cs="Arial"/>
          <w:szCs w:val="22"/>
        </w:rPr>
        <w:t xml:space="preserve"> gene is critical for Treg activity, and </w:t>
      </w:r>
      <w:r w:rsidRPr="001A53A9">
        <w:rPr>
          <w:rFonts w:cs="Arial"/>
          <w:i/>
          <w:szCs w:val="22"/>
        </w:rPr>
        <w:t xml:space="preserve">Foxp3 </w:t>
      </w:r>
      <w:r w:rsidRPr="001A53A9">
        <w:rPr>
          <w:rFonts w:cs="Arial"/>
          <w:szCs w:val="22"/>
        </w:rPr>
        <w:t>gene expression and structure can be manipulated with T cell receptor and costimulatory signals, cytokine and TLR signals, and methyltransferase inhibitors. These results were extended to the generation of human Tregs in vitro for therapeutic use. We also demonstrated critical roles for IL10, TGF</w:t>
      </w:r>
      <w:r w:rsidRPr="001A53A9">
        <w:rPr>
          <w:rFonts w:ascii="Symbol" w:hAnsi="Symbol" w:cs="Arial"/>
          <w:szCs w:val="22"/>
        </w:rPr>
        <w:t></w:t>
      </w:r>
      <w:r w:rsidRPr="001A53A9">
        <w:rPr>
          <w:rFonts w:cs="Arial"/>
          <w:szCs w:val="22"/>
        </w:rPr>
        <w:t>, and the induction of myeloid derived suppressor cells in the mechanisms of Treg suppression and tolerance. These studies defined important pharmacologic modulators of Treg that can be translated into clinically relevant approaches for therapy.</w:t>
      </w:r>
    </w:p>
    <w:p w14:paraId="27AE36DF" w14:textId="5C76C984" w:rsidR="0033047B" w:rsidRPr="001A53A9" w:rsidRDefault="0033047B" w:rsidP="0033047B">
      <w:pPr>
        <w:tabs>
          <w:tab w:val="left" w:pos="0"/>
          <w:tab w:val="left" w:pos="360"/>
        </w:tabs>
        <w:ind w:left="720" w:hanging="720"/>
        <w:jc w:val="both"/>
        <w:rPr>
          <w:rFonts w:cs="Arial"/>
          <w:szCs w:val="22"/>
        </w:rPr>
      </w:pPr>
      <w:r w:rsidRPr="001A53A9">
        <w:rPr>
          <w:rFonts w:cs="Arial"/>
          <w:szCs w:val="22"/>
        </w:rPr>
        <w:tab/>
      </w:r>
      <w:r w:rsidRPr="001A53A9">
        <w:rPr>
          <w:rFonts w:cs="Arial"/>
          <w:b/>
          <w:szCs w:val="22"/>
        </w:rPr>
        <w:t>a.</w:t>
      </w:r>
      <w:r>
        <w:rPr>
          <w:rFonts w:cs="Arial"/>
          <w:szCs w:val="22"/>
        </w:rPr>
        <w:tab/>
      </w:r>
      <w:r w:rsidR="0074479F" w:rsidRPr="001A53A9">
        <w:rPr>
          <w:rFonts w:cs="Arial"/>
          <w:szCs w:val="22"/>
        </w:rPr>
        <w:t xml:space="preserve">Lal G, Zhang N, van der </w:t>
      </w:r>
      <w:proofErr w:type="spellStart"/>
      <w:r w:rsidR="0074479F" w:rsidRPr="001A53A9">
        <w:rPr>
          <w:rFonts w:cs="Arial"/>
          <w:szCs w:val="22"/>
        </w:rPr>
        <w:t>Touw</w:t>
      </w:r>
      <w:proofErr w:type="spellEnd"/>
      <w:r w:rsidR="0074479F" w:rsidRPr="001A53A9">
        <w:rPr>
          <w:rFonts w:cs="Arial"/>
          <w:szCs w:val="22"/>
        </w:rPr>
        <w:t xml:space="preserve"> W, Ding Y, Ju W, </w:t>
      </w:r>
      <w:proofErr w:type="spellStart"/>
      <w:r w:rsidR="0074479F" w:rsidRPr="001A53A9">
        <w:rPr>
          <w:rFonts w:cs="Arial"/>
          <w:szCs w:val="22"/>
        </w:rPr>
        <w:t>Bottinger</w:t>
      </w:r>
      <w:proofErr w:type="spellEnd"/>
      <w:r w:rsidR="0074479F" w:rsidRPr="001A53A9">
        <w:rPr>
          <w:rFonts w:cs="Arial"/>
          <w:szCs w:val="22"/>
        </w:rPr>
        <w:t xml:space="preserve"> E, Reid SP, Levy DE, Bromberg JS.  Epigenetic regulation of Foxp3 expression in regulatory T cells by DNA methylation. J. Immunol., 2009, 182:259-273. PM</w:t>
      </w:r>
      <w:r w:rsidR="0074479F">
        <w:rPr>
          <w:rFonts w:cs="Arial"/>
          <w:szCs w:val="22"/>
        </w:rPr>
        <w:t>C</w:t>
      </w:r>
      <w:r w:rsidR="0074479F" w:rsidRPr="001A53A9">
        <w:rPr>
          <w:rFonts w:cs="Arial"/>
          <w:szCs w:val="22"/>
        </w:rPr>
        <w:t xml:space="preserve">ID: </w:t>
      </w:r>
      <w:r w:rsidR="0074479F">
        <w:rPr>
          <w:rFonts w:cs="Arial"/>
          <w:szCs w:val="22"/>
        </w:rPr>
        <w:t>3731994.</w:t>
      </w:r>
    </w:p>
    <w:p w14:paraId="617BD849" w14:textId="34EA86F8" w:rsidR="0033047B" w:rsidRPr="001A53A9" w:rsidRDefault="0033047B" w:rsidP="0033047B">
      <w:pPr>
        <w:tabs>
          <w:tab w:val="left" w:pos="0"/>
          <w:tab w:val="left" w:pos="360"/>
        </w:tabs>
        <w:ind w:left="720" w:hanging="720"/>
        <w:jc w:val="both"/>
        <w:rPr>
          <w:rFonts w:cs="Arial"/>
          <w:szCs w:val="22"/>
        </w:rPr>
      </w:pPr>
      <w:r w:rsidRPr="001A53A9">
        <w:rPr>
          <w:rFonts w:cs="Arial"/>
          <w:szCs w:val="22"/>
        </w:rPr>
        <w:tab/>
      </w:r>
      <w:r w:rsidRPr="001A53A9">
        <w:rPr>
          <w:rFonts w:cs="Arial"/>
          <w:b/>
          <w:szCs w:val="22"/>
        </w:rPr>
        <w:t>b.</w:t>
      </w:r>
      <w:r>
        <w:rPr>
          <w:rFonts w:cs="Arial"/>
          <w:szCs w:val="22"/>
        </w:rPr>
        <w:tab/>
      </w:r>
      <w:r w:rsidR="0074479F" w:rsidRPr="001A53A9">
        <w:rPr>
          <w:rFonts w:cs="Arial"/>
          <w:szCs w:val="22"/>
        </w:rPr>
        <w:t xml:space="preserve">Rodriguez Garcia M, </w:t>
      </w:r>
      <w:proofErr w:type="spellStart"/>
      <w:r w:rsidR="0074479F" w:rsidRPr="001A53A9">
        <w:rPr>
          <w:rFonts w:cs="Arial"/>
          <w:szCs w:val="22"/>
        </w:rPr>
        <w:t>Ledgerwood</w:t>
      </w:r>
      <w:proofErr w:type="spellEnd"/>
      <w:r w:rsidR="0074479F" w:rsidRPr="001A53A9">
        <w:rPr>
          <w:rFonts w:cs="Arial"/>
          <w:szCs w:val="22"/>
        </w:rPr>
        <w:t xml:space="preserve"> L, Yang Y, Xu J, Lal G, Burrell B, Ma G, </w:t>
      </w:r>
      <w:proofErr w:type="spellStart"/>
      <w:r w:rsidR="0074479F" w:rsidRPr="001A53A9">
        <w:rPr>
          <w:rFonts w:cs="Arial"/>
          <w:szCs w:val="22"/>
        </w:rPr>
        <w:t>Grisotto</w:t>
      </w:r>
      <w:proofErr w:type="spellEnd"/>
      <w:r w:rsidR="0074479F" w:rsidRPr="001A53A9">
        <w:rPr>
          <w:rFonts w:cs="Arial"/>
          <w:szCs w:val="22"/>
        </w:rPr>
        <w:t xml:space="preserve"> M, Hashimoto D, Li Y, </w:t>
      </w:r>
      <w:proofErr w:type="spellStart"/>
      <w:r w:rsidR="0074479F" w:rsidRPr="001A53A9">
        <w:rPr>
          <w:rFonts w:cs="Arial"/>
          <w:szCs w:val="22"/>
        </w:rPr>
        <w:t>Boros</w:t>
      </w:r>
      <w:proofErr w:type="spellEnd"/>
      <w:r w:rsidR="0074479F" w:rsidRPr="001A53A9">
        <w:rPr>
          <w:rFonts w:cs="Arial"/>
          <w:szCs w:val="22"/>
        </w:rPr>
        <w:t xml:space="preserve"> P, van </w:t>
      </w:r>
      <w:proofErr w:type="spellStart"/>
      <w:r w:rsidR="0074479F" w:rsidRPr="001A53A9">
        <w:rPr>
          <w:rFonts w:cs="Arial"/>
          <w:szCs w:val="22"/>
        </w:rPr>
        <w:t>Rooijen</w:t>
      </w:r>
      <w:proofErr w:type="spellEnd"/>
      <w:r w:rsidR="0074479F" w:rsidRPr="001A53A9">
        <w:rPr>
          <w:rFonts w:cs="Arial"/>
          <w:szCs w:val="22"/>
        </w:rPr>
        <w:t xml:space="preserve"> N, </w:t>
      </w:r>
      <w:proofErr w:type="spellStart"/>
      <w:r w:rsidR="0074479F" w:rsidRPr="001A53A9">
        <w:rPr>
          <w:rFonts w:cs="Arial"/>
          <w:szCs w:val="22"/>
        </w:rPr>
        <w:t>Matesanz</w:t>
      </w:r>
      <w:proofErr w:type="spellEnd"/>
      <w:r w:rsidR="0074479F" w:rsidRPr="001A53A9">
        <w:rPr>
          <w:rFonts w:cs="Arial"/>
          <w:szCs w:val="22"/>
        </w:rPr>
        <w:t xml:space="preserve"> R, </w:t>
      </w:r>
      <w:proofErr w:type="spellStart"/>
      <w:r w:rsidR="0074479F" w:rsidRPr="001A53A9">
        <w:rPr>
          <w:rFonts w:cs="Arial"/>
          <w:szCs w:val="22"/>
        </w:rPr>
        <w:t>Tacke</w:t>
      </w:r>
      <w:proofErr w:type="spellEnd"/>
      <w:r w:rsidR="0074479F" w:rsidRPr="001A53A9">
        <w:rPr>
          <w:rFonts w:cs="Arial"/>
          <w:szCs w:val="22"/>
        </w:rPr>
        <w:t xml:space="preserve"> R, Ginhoux F, Ding Y, Chen S-H, Randolph G, </w:t>
      </w:r>
      <w:proofErr w:type="spellStart"/>
      <w:r w:rsidR="0074479F" w:rsidRPr="001A53A9">
        <w:rPr>
          <w:rFonts w:cs="Arial"/>
          <w:szCs w:val="22"/>
        </w:rPr>
        <w:t>Merad</w:t>
      </w:r>
      <w:proofErr w:type="spellEnd"/>
      <w:r w:rsidR="0074479F" w:rsidRPr="001A53A9">
        <w:rPr>
          <w:rFonts w:cs="Arial"/>
          <w:szCs w:val="22"/>
        </w:rPr>
        <w:t xml:space="preserve"> M, Bromberg JS, </w:t>
      </w:r>
      <w:proofErr w:type="spellStart"/>
      <w:r w:rsidR="0074479F" w:rsidRPr="001A53A9">
        <w:rPr>
          <w:rFonts w:cs="Arial"/>
          <w:szCs w:val="22"/>
        </w:rPr>
        <w:t>Ochando</w:t>
      </w:r>
      <w:proofErr w:type="spellEnd"/>
      <w:r w:rsidR="0074479F" w:rsidRPr="001A53A9">
        <w:rPr>
          <w:rFonts w:cs="Arial"/>
          <w:szCs w:val="22"/>
        </w:rPr>
        <w:t xml:space="preserve"> J.  Monocytic suppressive cells mediate transplantation tolerance in mice.  J. Clin. Invest., 2010, 120:2486-2496. PM</w:t>
      </w:r>
      <w:r w:rsidR="0074479F">
        <w:rPr>
          <w:rFonts w:cs="Arial"/>
          <w:szCs w:val="22"/>
        </w:rPr>
        <w:t>C</w:t>
      </w:r>
      <w:r w:rsidR="0074479F" w:rsidRPr="001A53A9">
        <w:rPr>
          <w:rFonts w:cs="Arial"/>
          <w:szCs w:val="22"/>
        </w:rPr>
        <w:t xml:space="preserve">ID: </w:t>
      </w:r>
      <w:r w:rsidR="0074479F">
        <w:rPr>
          <w:rFonts w:cs="Arial"/>
          <w:szCs w:val="22"/>
        </w:rPr>
        <w:t>PMC2898596.</w:t>
      </w:r>
    </w:p>
    <w:p w14:paraId="6725491A" w14:textId="3BC8CB91" w:rsidR="0033047B" w:rsidRPr="001A53A9" w:rsidRDefault="0033047B" w:rsidP="0074479F">
      <w:pPr>
        <w:tabs>
          <w:tab w:val="left" w:pos="0"/>
          <w:tab w:val="left" w:pos="360"/>
        </w:tabs>
        <w:ind w:left="720" w:hanging="720"/>
        <w:jc w:val="both"/>
        <w:rPr>
          <w:rFonts w:cs="Arial"/>
          <w:szCs w:val="22"/>
        </w:rPr>
      </w:pPr>
      <w:r w:rsidRPr="001A53A9">
        <w:rPr>
          <w:rFonts w:cs="Arial"/>
          <w:szCs w:val="22"/>
        </w:rPr>
        <w:tab/>
      </w:r>
      <w:r w:rsidRPr="001A53A9">
        <w:rPr>
          <w:rFonts w:cs="Arial"/>
          <w:b/>
          <w:szCs w:val="22"/>
        </w:rPr>
        <w:t>c.</w:t>
      </w:r>
      <w:r>
        <w:rPr>
          <w:rFonts w:cs="Arial"/>
          <w:b/>
          <w:szCs w:val="22"/>
        </w:rPr>
        <w:tab/>
      </w:r>
      <w:r w:rsidR="0074479F" w:rsidRPr="001A53A9">
        <w:rPr>
          <w:rFonts w:cs="Arial"/>
          <w:szCs w:val="22"/>
        </w:rPr>
        <w:t xml:space="preserve">Hippen KL, Merkel SC, </w:t>
      </w:r>
      <w:proofErr w:type="spellStart"/>
      <w:r w:rsidR="0074479F" w:rsidRPr="001A53A9">
        <w:rPr>
          <w:rFonts w:cs="Arial"/>
          <w:szCs w:val="22"/>
        </w:rPr>
        <w:t>Schirm</w:t>
      </w:r>
      <w:proofErr w:type="spellEnd"/>
      <w:r w:rsidR="0074479F" w:rsidRPr="001A53A9">
        <w:rPr>
          <w:rFonts w:cs="Arial"/>
          <w:szCs w:val="22"/>
        </w:rPr>
        <w:t xml:space="preserve"> DK, Sieben CM, </w:t>
      </w:r>
      <w:proofErr w:type="spellStart"/>
      <w:r w:rsidR="0074479F" w:rsidRPr="001A53A9">
        <w:rPr>
          <w:rFonts w:cs="Arial"/>
          <w:szCs w:val="22"/>
        </w:rPr>
        <w:t>Sumstad</w:t>
      </w:r>
      <w:proofErr w:type="spellEnd"/>
      <w:r w:rsidR="0074479F" w:rsidRPr="001A53A9">
        <w:rPr>
          <w:rFonts w:cs="Arial"/>
          <w:szCs w:val="22"/>
        </w:rPr>
        <w:t xml:space="preserve"> D, </w:t>
      </w:r>
      <w:proofErr w:type="spellStart"/>
      <w:r w:rsidR="0074479F" w:rsidRPr="001A53A9">
        <w:rPr>
          <w:rFonts w:cs="Arial"/>
          <w:szCs w:val="22"/>
        </w:rPr>
        <w:t>Kadidlo</w:t>
      </w:r>
      <w:proofErr w:type="spellEnd"/>
      <w:r w:rsidR="0074479F" w:rsidRPr="001A53A9">
        <w:rPr>
          <w:rFonts w:cs="Arial"/>
          <w:szCs w:val="22"/>
        </w:rPr>
        <w:t xml:space="preserve"> DM, McKenna DH, Bromberg JS, Levine BL, Riley JL, June CH, Miller JS, Wagner JE, Blazar BR.  Massive ex vivo expansion of human natural regulatory T cells (Tregs) with minimal loss of in vivo functional activity. Sci. Transl. Med., 2011, 3:83ra41. PM</w:t>
      </w:r>
      <w:r w:rsidR="0074479F">
        <w:rPr>
          <w:rFonts w:cs="Arial"/>
          <w:szCs w:val="22"/>
        </w:rPr>
        <w:t>C</w:t>
      </w:r>
      <w:r w:rsidR="0074479F" w:rsidRPr="001A53A9">
        <w:rPr>
          <w:rFonts w:cs="Arial"/>
          <w:szCs w:val="22"/>
        </w:rPr>
        <w:t xml:space="preserve">ID: </w:t>
      </w:r>
      <w:r w:rsidR="0074479F">
        <w:rPr>
          <w:rFonts w:cs="Arial"/>
          <w:szCs w:val="22"/>
        </w:rPr>
        <w:t>PMC3551476.</w:t>
      </w:r>
    </w:p>
    <w:p w14:paraId="1C724975" w14:textId="05CEC9E1" w:rsidR="0033047B" w:rsidRDefault="0033047B" w:rsidP="0033047B">
      <w:pPr>
        <w:tabs>
          <w:tab w:val="left" w:pos="0"/>
          <w:tab w:val="left" w:pos="360"/>
        </w:tabs>
        <w:ind w:left="720" w:hanging="720"/>
        <w:jc w:val="both"/>
        <w:rPr>
          <w:rFonts w:cs="Arial"/>
          <w:szCs w:val="22"/>
        </w:rPr>
      </w:pPr>
      <w:r w:rsidRPr="001A53A9">
        <w:rPr>
          <w:rFonts w:cs="Arial"/>
          <w:szCs w:val="22"/>
        </w:rPr>
        <w:tab/>
      </w:r>
      <w:r w:rsidRPr="001A53A9">
        <w:rPr>
          <w:rFonts w:cs="Arial"/>
          <w:b/>
          <w:szCs w:val="22"/>
        </w:rPr>
        <w:t>d.</w:t>
      </w:r>
      <w:r>
        <w:rPr>
          <w:rFonts w:cs="Arial"/>
          <w:szCs w:val="22"/>
        </w:rPr>
        <w:tab/>
      </w:r>
      <w:r w:rsidR="0074479F" w:rsidRPr="0074479F">
        <w:rPr>
          <w:rFonts w:cs="Arial"/>
          <w:szCs w:val="22"/>
        </w:rPr>
        <w:t>Saxena V, Piao W, Li L, Paluskievicz C, Xiong Y, Simon T, Lakhan R, Brinkman CC, Walden S, Hippen KL, WillsonShirkey M, Lee YS, Wagner C, Blazar BR, Bromberg JS. Treg tissue stability depends on lymphotoxin beta receptor- and adenosine receptor-driven lymphatic endothelial cell responses. Cell Reports 2022, 39: 110727.</w:t>
      </w:r>
      <w:r w:rsidR="0074479F" w:rsidRPr="0074479F">
        <w:t xml:space="preserve"> </w:t>
      </w:r>
      <w:r w:rsidR="0074479F" w:rsidRPr="0074479F">
        <w:rPr>
          <w:rFonts w:cs="Arial"/>
          <w:szCs w:val="22"/>
        </w:rPr>
        <w:t>PMID: 35443187</w:t>
      </w:r>
    </w:p>
    <w:p w14:paraId="6778CD44" w14:textId="77777777" w:rsidR="0033047B" w:rsidRPr="001A53A9" w:rsidRDefault="0033047B" w:rsidP="0033047B">
      <w:pPr>
        <w:tabs>
          <w:tab w:val="left" w:pos="0"/>
          <w:tab w:val="left" w:pos="360"/>
        </w:tabs>
        <w:spacing w:before="120"/>
        <w:jc w:val="both"/>
        <w:rPr>
          <w:rFonts w:cs="Arial"/>
          <w:szCs w:val="22"/>
        </w:rPr>
      </w:pPr>
      <w:r w:rsidRPr="001A53A9">
        <w:rPr>
          <w:rFonts w:cs="Arial"/>
          <w:b/>
          <w:szCs w:val="22"/>
        </w:rPr>
        <w:t>3.</w:t>
      </w:r>
      <w:r w:rsidRPr="001A53A9">
        <w:rPr>
          <w:rFonts w:cs="Arial"/>
          <w:szCs w:val="22"/>
        </w:rPr>
        <w:t xml:space="preserve"> My lab was the first to demonstrate that </w:t>
      </w:r>
      <w:r w:rsidRPr="001A53A9">
        <w:rPr>
          <w:rFonts w:cs="Arial"/>
          <w:b/>
          <w:szCs w:val="22"/>
          <w:u w:val="single"/>
        </w:rPr>
        <w:t>Treg not only must be induced in lymph nodes, but also must migrat</w:t>
      </w:r>
      <w:r>
        <w:rPr>
          <w:rFonts w:cs="Arial"/>
          <w:b/>
          <w:szCs w:val="22"/>
          <w:u w:val="single"/>
        </w:rPr>
        <w:t>e</w:t>
      </w:r>
      <w:r w:rsidRPr="001A53A9">
        <w:rPr>
          <w:rFonts w:cs="Arial"/>
          <w:b/>
          <w:szCs w:val="22"/>
          <w:u w:val="single"/>
        </w:rPr>
        <w:t xml:space="preserve"> from tissues through afferent lymphatics into lymph nodes</w:t>
      </w:r>
      <w:r w:rsidRPr="001A53A9">
        <w:rPr>
          <w:rFonts w:cs="Arial"/>
          <w:szCs w:val="22"/>
        </w:rPr>
        <w:t xml:space="preserve"> to fully suppress inflammation and immunity and prolong allograft survival. Lymphatic migration is regulated by several integrins, selectins, chemokines, and sphingosine 1-phospate receptors (S1PR). Treg interact with endothelial cells, parenchymal cells, and antigen presenting cells during their migration, effecting distinct suppressive activities required for graft survival and the induction and maintenance of Treg activation and suppressive function. These studies defined therapeutically important implications for manipulating immunity and suppression.</w:t>
      </w:r>
    </w:p>
    <w:p w14:paraId="206799A6" w14:textId="77777777" w:rsidR="0033047B" w:rsidRPr="001A53A9" w:rsidRDefault="0033047B" w:rsidP="0033047B">
      <w:pPr>
        <w:tabs>
          <w:tab w:val="left" w:pos="0"/>
          <w:tab w:val="left" w:pos="360"/>
        </w:tabs>
        <w:jc w:val="both"/>
        <w:rPr>
          <w:rFonts w:cs="Arial"/>
          <w:szCs w:val="22"/>
        </w:rPr>
      </w:pPr>
      <w:r w:rsidRPr="001A53A9">
        <w:rPr>
          <w:rFonts w:cs="Arial"/>
          <w:szCs w:val="22"/>
        </w:rPr>
        <w:tab/>
        <w:t xml:space="preserve">The structure and function of lymphatic vessels are poorly understood. </w:t>
      </w:r>
      <w:r w:rsidRPr="001A53A9">
        <w:rPr>
          <w:rFonts w:cs="Arial"/>
          <w:b/>
          <w:szCs w:val="22"/>
          <w:u w:val="single"/>
        </w:rPr>
        <w:t xml:space="preserve">We defined a stable lymphatic endothelial cell (LEC) line that recapitulates LEC function in vitro, allowing </w:t>
      </w:r>
      <w:proofErr w:type="spellStart"/>
      <w:r w:rsidRPr="001A53A9">
        <w:rPr>
          <w:rFonts w:cs="Arial"/>
          <w:b/>
          <w:szCs w:val="22"/>
          <w:u w:val="single"/>
        </w:rPr>
        <w:t>ablumenal</w:t>
      </w:r>
      <w:proofErr w:type="spellEnd"/>
      <w:r w:rsidRPr="001A53A9">
        <w:rPr>
          <w:rFonts w:cs="Arial"/>
          <w:b/>
          <w:szCs w:val="22"/>
          <w:u w:val="single"/>
        </w:rPr>
        <w:t>-to-</w:t>
      </w:r>
      <w:proofErr w:type="spellStart"/>
      <w:r w:rsidRPr="001A53A9">
        <w:rPr>
          <w:rFonts w:cs="Arial"/>
          <w:b/>
          <w:szCs w:val="22"/>
          <w:u w:val="single"/>
        </w:rPr>
        <w:t>lumenal</w:t>
      </w:r>
      <w:proofErr w:type="spellEnd"/>
      <w:r w:rsidRPr="001A53A9">
        <w:rPr>
          <w:rFonts w:cs="Arial"/>
          <w:b/>
          <w:szCs w:val="22"/>
          <w:u w:val="single"/>
        </w:rPr>
        <w:t xml:space="preserve"> migration to a chemokine gradient, but not the reverse migration</w:t>
      </w:r>
      <w:r w:rsidRPr="001A53A9">
        <w:rPr>
          <w:rFonts w:cs="Arial"/>
          <w:szCs w:val="22"/>
        </w:rPr>
        <w:t>. In contrast, blood endothelial cells permit migration in both directions. A</w:t>
      </w:r>
      <w:r>
        <w:rPr>
          <w:rFonts w:cs="Arial"/>
          <w:szCs w:val="22"/>
        </w:rPr>
        <w:t>n</w:t>
      </w:r>
      <w:r w:rsidRPr="001A53A9">
        <w:rPr>
          <w:rFonts w:cs="Arial"/>
          <w:szCs w:val="22"/>
        </w:rPr>
        <w:t xml:space="preserve"> S1P gradient promotes </w:t>
      </w:r>
      <w:proofErr w:type="spellStart"/>
      <w:r w:rsidRPr="001A53A9">
        <w:rPr>
          <w:rFonts w:cs="Arial"/>
          <w:szCs w:val="22"/>
        </w:rPr>
        <w:t>transendothelial</w:t>
      </w:r>
      <w:proofErr w:type="spellEnd"/>
      <w:r w:rsidRPr="001A53A9">
        <w:rPr>
          <w:rFonts w:cs="Arial"/>
          <w:szCs w:val="22"/>
        </w:rPr>
        <w:t xml:space="preserve"> migration across LEC, while a high concentration of S1P, such as occurs in acute inflammation, inhibits afferent lymphatic migration, retaining immune cells in tissues. </w:t>
      </w:r>
      <w:proofErr w:type="spellStart"/>
      <w:r w:rsidRPr="001A53A9">
        <w:rPr>
          <w:rFonts w:cs="Arial"/>
          <w:szCs w:val="22"/>
        </w:rPr>
        <w:t>Lymphangiogenesis</w:t>
      </w:r>
      <w:proofErr w:type="spellEnd"/>
      <w:r w:rsidRPr="001A53A9">
        <w:rPr>
          <w:rFonts w:cs="Arial"/>
          <w:szCs w:val="22"/>
        </w:rPr>
        <w:t xml:space="preserve"> not only occurs in the presence of inflammation, but also promotes inflammation and can be targeted to prevent allograft rejection. These studies defined new tools for lymphatic research and novel therapeutic approaches to modulating inflammation.</w:t>
      </w:r>
    </w:p>
    <w:p w14:paraId="417E3704" w14:textId="77777777" w:rsidR="0033047B" w:rsidRPr="001A53A9" w:rsidRDefault="0033047B" w:rsidP="0033047B">
      <w:pPr>
        <w:tabs>
          <w:tab w:val="left" w:pos="0"/>
          <w:tab w:val="left" w:pos="360"/>
        </w:tabs>
        <w:ind w:left="720" w:hanging="720"/>
        <w:jc w:val="both"/>
        <w:rPr>
          <w:rFonts w:cs="Arial"/>
          <w:szCs w:val="22"/>
        </w:rPr>
      </w:pPr>
      <w:r w:rsidRPr="001A53A9">
        <w:rPr>
          <w:rFonts w:cs="Arial"/>
          <w:szCs w:val="22"/>
        </w:rPr>
        <w:tab/>
      </w:r>
      <w:r w:rsidRPr="001A53A9">
        <w:rPr>
          <w:rFonts w:cs="Arial"/>
          <w:b/>
          <w:szCs w:val="22"/>
        </w:rPr>
        <w:t>a.</w:t>
      </w:r>
      <w:r>
        <w:rPr>
          <w:rFonts w:cs="Arial"/>
          <w:b/>
          <w:szCs w:val="22"/>
        </w:rPr>
        <w:tab/>
      </w:r>
      <w:r w:rsidRPr="001A53A9">
        <w:rPr>
          <w:rFonts w:cs="Arial"/>
          <w:szCs w:val="22"/>
        </w:rPr>
        <w:t xml:space="preserve">Zhang N, </w:t>
      </w:r>
      <w:proofErr w:type="spellStart"/>
      <w:r w:rsidRPr="001A53A9">
        <w:rPr>
          <w:rFonts w:cs="Arial"/>
          <w:szCs w:val="22"/>
        </w:rPr>
        <w:t>Schroppel</w:t>
      </w:r>
      <w:proofErr w:type="spellEnd"/>
      <w:r w:rsidRPr="001A53A9">
        <w:rPr>
          <w:rFonts w:cs="Arial"/>
          <w:szCs w:val="22"/>
        </w:rPr>
        <w:t xml:space="preserve"> B, Lal G, </w:t>
      </w:r>
      <w:proofErr w:type="spellStart"/>
      <w:r w:rsidRPr="001A53A9">
        <w:rPr>
          <w:rFonts w:cs="Arial"/>
          <w:szCs w:val="22"/>
        </w:rPr>
        <w:t>Jakubzick</w:t>
      </w:r>
      <w:proofErr w:type="spellEnd"/>
      <w:r w:rsidRPr="001A53A9">
        <w:rPr>
          <w:rFonts w:cs="Arial"/>
          <w:szCs w:val="22"/>
        </w:rPr>
        <w:t xml:space="preserve"> C, Mao X, Chen D, </w:t>
      </w:r>
      <w:proofErr w:type="spellStart"/>
      <w:r w:rsidRPr="001A53A9">
        <w:rPr>
          <w:rFonts w:cs="Arial"/>
          <w:szCs w:val="22"/>
        </w:rPr>
        <w:t>Jessberger</w:t>
      </w:r>
      <w:proofErr w:type="spellEnd"/>
      <w:r w:rsidRPr="001A53A9">
        <w:rPr>
          <w:rFonts w:cs="Arial"/>
          <w:szCs w:val="22"/>
        </w:rPr>
        <w:t xml:space="preserve"> R, </w:t>
      </w:r>
      <w:proofErr w:type="spellStart"/>
      <w:r w:rsidRPr="001A53A9">
        <w:rPr>
          <w:rFonts w:cs="Arial"/>
          <w:szCs w:val="22"/>
        </w:rPr>
        <w:t>Ochando</w:t>
      </w:r>
      <w:proofErr w:type="spellEnd"/>
      <w:r w:rsidRPr="001A53A9">
        <w:rPr>
          <w:rFonts w:cs="Arial"/>
          <w:szCs w:val="22"/>
        </w:rPr>
        <w:t xml:space="preserve"> JC, Bromberg JS.  Regulatory T cells sequentially migrate from the site of tissue inflammation to the draining LN to suppress allograft rejection. Immunity, 2009, 30:458-469. PM</w:t>
      </w:r>
      <w:r>
        <w:rPr>
          <w:rFonts w:cs="Arial"/>
          <w:szCs w:val="22"/>
        </w:rPr>
        <w:t>C</w:t>
      </w:r>
      <w:r w:rsidRPr="001A53A9">
        <w:rPr>
          <w:rFonts w:cs="Arial"/>
          <w:szCs w:val="22"/>
        </w:rPr>
        <w:t xml:space="preserve">ID: </w:t>
      </w:r>
      <w:r>
        <w:rPr>
          <w:rFonts w:cs="Arial"/>
          <w:szCs w:val="22"/>
        </w:rPr>
        <w:t>PMC2737741.</w:t>
      </w:r>
    </w:p>
    <w:p w14:paraId="221179C2" w14:textId="77777777" w:rsidR="0033047B" w:rsidRPr="001A53A9" w:rsidRDefault="0033047B" w:rsidP="0033047B">
      <w:pPr>
        <w:tabs>
          <w:tab w:val="left" w:pos="0"/>
          <w:tab w:val="left" w:pos="360"/>
        </w:tabs>
        <w:ind w:left="720" w:hanging="720"/>
        <w:jc w:val="both"/>
        <w:rPr>
          <w:rFonts w:cs="Arial"/>
          <w:szCs w:val="22"/>
        </w:rPr>
      </w:pPr>
      <w:r w:rsidRPr="001A53A9">
        <w:rPr>
          <w:rFonts w:cs="Arial"/>
          <w:szCs w:val="22"/>
        </w:rPr>
        <w:lastRenderedPageBreak/>
        <w:tab/>
      </w:r>
      <w:r w:rsidRPr="001A53A9">
        <w:rPr>
          <w:rFonts w:cs="Arial"/>
          <w:b/>
          <w:szCs w:val="22"/>
        </w:rPr>
        <w:t>b.</w:t>
      </w:r>
      <w:r>
        <w:rPr>
          <w:rFonts w:cs="Arial"/>
          <w:b/>
          <w:szCs w:val="22"/>
        </w:rPr>
        <w:tab/>
      </w:r>
      <w:bookmarkStart w:id="1" w:name="_Hlk60316504"/>
      <w:proofErr w:type="spellStart"/>
      <w:r w:rsidRPr="001A53A9">
        <w:rPr>
          <w:rFonts w:cs="Arial"/>
          <w:szCs w:val="22"/>
        </w:rPr>
        <w:t>Ledgerwood</w:t>
      </w:r>
      <w:proofErr w:type="spellEnd"/>
      <w:r w:rsidRPr="001A53A9">
        <w:rPr>
          <w:rFonts w:cs="Arial"/>
          <w:szCs w:val="22"/>
        </w:rPr>
        <w:t xml:space="preserve"> LG, Lal G, Zhang N, </w:t>
      </w:r>
      <w:proofErr w:type="spellStart"/>
      <w:r w:rsidRPr="001A53A9">
        <w:rPr>
          <w:rFonts w:cs="Arial"/>
          <w:szCs w:val="22"/>
        </w:rPr>
        <w:t>Garin</w:t>
      </w:r>
      <w:proofErr w:type="spellEnd"/>
      <w:r w:rsidRPr="001A53A9">
        <w:rPr>
          <w:rFonts w:cs="Arial"/>
          <w:szCs w:val="22"/>
        </w:rPr>
        <w:t xml:space="preserve"> A, </w:t>
      </w:r>
      <w:proofErr w:type="spellStart"/>
      <w:r w:rsidRPr="001A53A9">
        <w:rPr>
          <w:rFonts w:cs="Arial"/>
          <w:szCs w:val="22"/>
        </w:rPr>
        <w:t>Esses</w:t>
      </w:r>
      <w:proofErr w:type="spellEnd"/>
      <w:r w:rsidRPr="001A53A9">
        <w:rPr>
          <w:rFonts w:cs="Arial"/>
          <w:szCs w:val="22"/>
        </w:rPr>
        <w:t xml:space="preserve"> SJ, </w:t>
      </w:r>
      <w:proofErr w:type="spellStart"/>
      <w:r w:rsidRPr="001A53A9">
        <w:rPr>
          <w:rFonts w:cs="Arial"/>
          <w:szCs w:val="22"/>
        </w:rPr>
        <w:t>Ginhoux</w:t>
      </w:r>
      <w:proofErr w:type="spellEnd"/>
      <w:r w:rsidRPr="001A53A9">
        <w:rPr>
          <w:rFonts w:cs="Arial"/>
          <w:szCs w:val="22"/>
        </w:rPr>
        <w:t xml:space="preserve"> F, </w:t>
      </w:r>
      <w:proofErr w:type="spellStart"/>
      <w:r w:rsidRPr="001A53A9">
        <w:rPr>
          <w:rFonts w:cs="Arial"/>
          <w:szCs w:val="22"/>
        </w:rPr>
        <w:t>Peche</w:t>
      </w:r>
      <w:proofErr w:type="spellEnd"/>
      <w:r w:rsidRPr="001A53A9">
        <w:rPr>
          <w:rFonts w:cs="Arial"/>
          <w:szCs w:val="22"/>
        </w:rPr>
        <w:t xml:space="preserve"> H, Lira SA, Ding Y, Yang Y, He X, </w:t>
      </w:r>
      <w:proofErr w:type="spellStart"/>
      <w:r w:rsidRPr="001A53A9">
        <w:rPr>
          <w:rFonts w:cs="Arial"/>
          <w:szCs w:val="22"/>
        </w:rPr>
        <w:t>Schuchman</w:t>
      </w:r>
      <w:proofErr w:type="spellEnd"/>
      <w:r w:rsidRPr="001A53A9">
        <w:rPr>
          <w:rFonts w:cs="Arial"/>
          <w:szCs w:val="22"/>
        </w:rPr>
        <w:t xml:space="preserve"> EH, Allende ML, </w:t>
      </w:r>
      <w:proofErr w:type="spellStart"/>
      <w:r w:rsidRPr="001A53A9">
        <w:rPr>
          <w:rFonts w:cs="Arial"/>
          <w:szCs w:val="22"/>
        </w:rPr>
        <w:t>Ochando</w:t>
      </w:r>
      <w:proofErr w:type="spellEnd"/>
      <w:r w:rsidRPr="001A53A9">
        <w:rPr>
          <w:rFonts w:cs="Arial"/>
          <w:szCs w:val="22"/>
        </w:rPr>
        <w:t xml:space="preserve"> JC, Bromberg JS. Sphingosine 1-phosphate receptor S1P1 causes tissue retention by inhibiting peripheral tissue T lymphocyte entry into afferent lymphatics.  Nature Immunol., 2008, 9:42-53. PMID: 18037890</w:t>
      </w:r>
      <w:r>
        <w:rPr>
          <w:rFonts w:cs="Arial"/>
          <w:szCs w:val="22"/>
        </w:rPr>
        <w:t>.</w:t>
      </w:r>
    </w:p>
    <w:p w14:paraId="1378D122" w14:textId="77777777" w:rsidR="0033047B" w:rsidRDefault="0033047B" w:rsidP="0033047B">
      <w:pPr>
        <w:tabs>
          <w:tab w:val="left" w:pos="0"/>
          <w:tab w:val="left" w:pos="360"/>
        </w:tabs>
        <w:ind w:left="720" w:hanging="720"/>
        <w:jc w:val="both"/>
        <w:rPr>
          <w:rFonts w:cs="Arial"/>
          <w:szCs w:val="22"/>
        </w:rPr>
      </w:pPr>
      <w:r w:rsidRPr="001A53A9">
        <w:rPr>
          <w:rFonts w:cs="Arial"/>
          <w:szCs w:val="22"/>
        </w:rPr>
        <w:tab/>
      </w:r>
      <w:r>
        <w:rPr>
          <w:rFonts w:cs="Arial"/>
          <w:b/>
          <w:szCs w:val="22"/>
        </w:rPr>
        <w:t>c</w:t>
      </w:r>
      <w:r w:rsidRPr="001A53A9">
        <w:rPr>
          <w:rFonts w:cs="Arial"/>
          <w:b/>
          <w:szCs w:val="22"/>
        </w:rPr>
        <w:t>.</w:t>
      </w:r>
      <w:r>
        <w:rPr>
          <w:rFonts w:cs="Arial"/>
          <w:b/>
          <w:szCs w:val="22"/>
        </w:rPr>
        <w:tab/>
      </w:r>
      <w:r w:rsidRPr="000A6DEB">
        <w:rPr>
          <w:rFonts w:cs="Arial"/>
          <w:szCs w:val="22"/>
        </w:rPr>
        <w:t xml:space="preserve">Brinkman CC, </w:t>
      </w:r>
      <w:proofErr w:type="spellStart"/>
      <w:r w:rsidRPr="000A6DEB">
        <w:rPr>
          <w:rFonts w:cs="Arial"/>
          <w:szCs w:val="22"/>
        </w:rPr>
        <w:t>Iwami</w:t>
      </w:r>
      <w:proofErr w:type="spellEnd"/>
      <w:r w:rsidRPr="000A6DEB">
        <w:rPr>
          <w:rFonts w:cs="Arial"/>
          <w:szCs w:val="22"/>
        </w:rPr>
        <w:t xml:space="preserve"> D, </w:t>
      </w:r>
      <w:proofErr w:type="spellStart"/>
      <w:r w:rsidRPr="000A6DEB">
        <w:rPr>
          <w:rFonts w:cs="Arial"/>
          <w:szCs w:val="22"/>
        </w:rPr>
        <w:t>Hritzko</w:t>
      </w:r>
      <w:proofErr w:type="spellEnd"/>
      <w:r w:rsidRPr="000A6DEB">
        <w:rPr>
          <w:rFonts w:cs="Arial"/>
          <w:szCs w:val="22"/>
        </w:rPr>
        <w:t xml:space="preserve"> MK, Xiong, Y Ahmad, Bromberg </w:t>
      </w:r>
      <w:proofErr w:type="gramStart"/>
      <w:r w:rsidRPr="000A6DEB">
        <w:rPr>
          <w:rFonts w:cs="Arial"/>
          <w:szCs w:val="22"/>
        </w:rPr>
        <w:t>JS.</w:t>
      </w:r>
      <w:r w:rsidRPr="00DE3FB3">
        <w:rPr>
          <w:rFonts w:cs="Arial"/>
          <w:szCs w:val="22"/>
        </w:rPr>
        <w:t>.</w:t>
      </w:r>
      <w:proofErr w:type="gramEnd"/>
      <w:r w:rsidRPr="00DE3FB3">
        <w:rPr>
          <w:rFonts w:cs="Arial"/>
          <w:szCs w:val="22"/>
        </w:rPr>
        <w:t xml:space="preserve"> Treg engage lymphotoxin beta receptor for afferent lymphatic </w:t>
      </w:r>
      <w:proofErr w:type="spellStart"/>
      <w:r w:rsidRPr="00DE3FB3">
        <w:rPr>
          <w:rFonts w:cs="Arial"/>
          <w:szCs w:val="22"/>
        </w:rPr>
        <w:t>transendothelial</w:t>
      </w:r>
      <w:proofErr w:type="spellEnd"/>
      <w:r w:rsidRPr="00DE3FB3">
        <w:rPr>
          <w:rFonts w:cs="Arial"/>
          <w:szCs w:val="22"/>
        </w:rPr>
        <w:t xml:space="preserve"> migration. Nature Communications 2</w:t>
      </w:r>
      <w:r>
        <w:rPr>
          <w:rFonts w:cs="Arial"/>
          <w:szCs w:val="22"/>
        </w:rPr>
        <w:t>01</w:t>
      </w:r>
      <w:r w:rsidRPr="00DE3FB3">
        <w:rPr>
          <w:rFonts w:cs="Arial"/>
          <w:szCs w:val="22"/>
        </w:rPr>
        <w:t>6; 7:12021. PM</w:t>
      </w:r>
      <w:r>
        <w:rPr>
          <w:rFonts w:cs="Arial"/>
          <w:szCs w:val="22"/>
        </w:rPr>
        <w:t>C</w:t>
      </w:r>
      <w:r w:rsidRPr="00DE3FB3">
        <w:rPr>
          <w:rFonts w:cs="Arial"/>
          <w:szCs w:val="22"/>
        </w:rPr>
        <w:t>ID:</w:t>
      </w:r>
      <w:r>
        <w:rPr>
          <w:rFonts w:cs="Arial"/>
          <w:szCs w:val="22"/>
        </w:rPr>
        <w:t xml:space="preserve"> PMC4919545.</w:t>
      </w:r>
    </w:p>
    <w:p w14:paraId="1CFBCE09" w14:textId="77777777" w:rsidR="0033047B" w:rsidRPr="007A08C2" w:rsidRDefault="0033047B" w:rsidP="0033047B">
      <w:pPr>
        <w:tabs>
          <w:tab w:val="left" w:pos="0"/>
          <w:tab w:val="left" w:pos="360"/>
        </w:tabs>
        <w:ind w:left="720" w:hanging="720"/>
        <w:jc w:val="both"/>
        <w:rPr>
          <w:rFonts w:cs="Arial"/>
          <w:szCs w:val="22"/>
        </w:rPr>
      </w:pPr>
      <w:r>
        <w:rPr>
          <w:rFonts w:cs="Arial"/>
          <w:szCs w:val="22"/>
        </w:rPr>
        <w:tab/>
      </w:r>
      <w:r w:rsidRPr="007A08C2">
        <w:rPr>
          <w:rFonts w:cs="Arial"/>
          <w:b/>
          <w:szCs w:val="22"/>
        </w:rPr>
        <w:t>d.</w:t>
      </w:r>
      <w:r>
        <w:rPr>
          <w:rFonts w:cs="Arial"/>
          <w:szCs w:val="22"/>
        </w:rPr>
        <w:tab/>
      </w:r>
      <w:r w:rsidRPr="007A08C2">
        <w:rPr>
          <w:rFonts w:cs="Arial"/>
          <w:szCs w:val="22"/>
        </w:rPr>
        <w:t>Piao W, Xiong Y, Famulski K, Brinkman CC, Li L, Wagner C, Saxena V, Simon T, Bromberg JS. Regulation of T cell afferent lymphatic migration by targeting LT</w:t>
      </w:r>
      <w:r w:rsidRPr="007A08C2">
        <w:rPr>
          <w:rFonts w:ascii="Symbol" w:hAnsi="Symbol" w:cs="Arial"/>
          <w:szCs w:val="22"/>
        </w:rPr>
        <w:t></w:t>
      </w:r>
      <w:r w:rsidRPr="007A08C2">
        <w:rPr>
          <w:rFonts w:cs="Arial"/>
          <w:szCs w:val="22"/>
        </w:rPr>
        <w:t>R-mediated non-classical NF</w:t>
      </w:r>
      <w:r w:rsidRPr="007A08C2">
        <w:rPr>
          <w:rFonts w:ascii="Symbol" w:hAnsi="Symbol" w:cs="Arial"/>
          <w:szCs w:val="22"/>
        </w:rPr>
        <w:t></w:t>
      </w:r>
      <w:r w:rsidRPr="007A08C2">
        <w:rPr>
          <w:rFonts w:cs="Arial"/>
          <w:szCs w:val="22"/>
        </w:rPr>
        <w:t xml:space="preserve">B signaling. Nature Comm. 2018, 9: 3020. </w:t>
      </w:r>
      <w:proofErr w:type="spellStart"/>
      <w:r>
        <w:rPr>
          <w:rFonts w:cs="Arial"/>
          <w:szCs w:val="22"/>
        </w:rPr>
        <w:t>doi</w:t>
      </w:r>
      <w:proofErr w:type="spellEnd"/>
      <w:r w:rsidRPr="007A08C2">
        <w:rPr>
          <w:rFonts w:cs="Arial"/>
          <w:szCs w:val="22"/>
        </w:rPr>
        <w:t>: 10.1038/s41467-018-05412-0</w:t>
      </w:r>
      <w:r>
        <w:rPr>
          <w:rFonts w:cs="Arial"/>
          <w:szCs w:val="22"/>
        </w:rPr>
        <w:t xml:space="preserve">. </w:t>
      </w:r>
      <w:r w:rsidRPr="007A08C2">
        <w:rPr>
          <w:rFonts w:cs="Arial"/>
          <w:szCs w:val="22"/>
        </w:rPr>
        <w:t>PM</w:t>
      </w:r>
      <w:r>
        <w:rPr>
          <w:rFonts w:cs="Arial"/>
          <w:szCs w:val="22"/>
        </w:rPr>
        <w:t>C</w:t>
      </w:r>
      <w:r w:rsidRPr="007A08C2">
        <w:rPr>
          <w:rFonts w:cs="Arial"/>
          <w:szCs w:val="22"/>
        </w:rPr>
        <w:t xml:space="preserve">ID: </w:t>
      </w:r>
      <w:r>
        <w:rPr>
          <w:rFonts w:cs="Arial"/>
          <w:szCs w:val="22"/>
        </w:rPr>
        <w:t>PMC6070541.</w:t>
      </w:r>
    </w:p>
    <w:bookmarkEnd w:id="1"/>
    <w:p w14:paraId="031BEA18" w14:textId="77777777" w:rsidR="0033047B" w:rsidRPr="001A53A9" w:rsidRDefault="0033047B" w:rsidP="0033047B">
      <w:pPr>
        <w:tabs>
          <w:tab w:val="left" w:pos="0"/>
          <w:tab w:val="left" w:pos="360"/>
        </w:tabs>
        <w:spacing w:before="120"/>
        <w:jc w:val="both"/>
        <w:rPr>
          <w:rFonts w:cs="Arial"/>
          <w:szCs w:val="22"/>
        </w:rPr>
      </w:pPr>
      <w:r w:rsidRPr="001A53A9">
        <w:rPr>
          <w:rFonts w:cs="Arial"/>
          <w:b/>
          <w:szCs w:val="22"/>
        </w:rPr>
        <w:t>4.</w:t>
      </w:r>
      <w:r>
        <w:rPr>
          <w:rFonts w:cs="Arial"/>
          <w:b/>
          <w:szCs w:val="22"/>
        </w:rPr>
        <w:t xml:space="preserve"> </w:t>
      </w:r>
      <w:r w:rsidRPr="00561209">
        <w:rPr>
          <w:rFonts w:cs="Arial"/>
          <w:bCs/>
          <w:szCs w:val="22"/>
        </w:rPr>
        <w:t>L</w:t>
      </w:r>
      <w:r w:rsidRPr="001A53A9">
        <w:rPr>
          <w:rFonts w:cs="Arial"/>
          <w:szCs w:val="22"/>
        </w:rPr>
        <w:t xml:space="preserve">ymph nodes are required for tolerance and there are </w:t>
      </w:r>
      <w:r w:rsidRPr="001A53A9">
        <w:rPr>
          <w:rFonts w:cs="Arial"/>
          <w:b/>
          <w:szCs w:val="22"/>
          <w:u w:val="single"/>
        </w:rPr>
        <w:t>distinct domains within the lymph node committed to different aspects of immunity</w:t>
      </w:r>
      <w:r>
        <w:rPr>
          <w:rFonts w:cs="Arial"/>
          <w:szCs w:val="22"/>
        </w:rPr>
        <w:t>.</w:t>
      </w:r>
      <w:r w:rsidRPr="001A53A9">
        <w:rPr>
          <w:rFonts w:cs="Arial"/>
          <w:szCs w:val="22"/>
        </w:rPr>
        <w:t xml:space="preserve"> During tolerization alloantigen specific Treg and </w:t>
      </w:r>
      <w:proofErr w:type="spellStart"/>
      <w:r w:rsidRPr="001A53A9">
        <w:rPr>
          <w:rFonts w:cs="Arial"/>
          <w:szCs w:val="22"/>
        </w:rPr>
        <w:t>pDC</w:t>
      </w:r>
      <w:proofErr w:type="spellEnd"/>
      <w:r w:rsidRPr="001A53A9">
        <w:rPr>
          <w:rFonts w:cs="Arial"/>
          <w:szCs w:val="22"/>
        </w:rPr>
        <w:t xml:space="preserve"> presenting specific alloantigen concentrat</w:t>
      </w:r>
      <w:r>
        <w:rPr>
          <w:rFonts w:cs="Arial"/>
          <w:szCs w:val="22"/>
        </w:rPr>
        <w:t>e</w:t>
      </w:r>
      <w:r w:rsidRPr="001A53A9">
        <w:rPr>
          <w:rFonts w:cs="Arial"/>
          <w:szCs w:val="22"/>
        </w:rPr>
        <w:t xml:space="preserve"> around the cortical ridge, an area that encompasses the high endothelial venules and is a site for trafficking into the lymph node between the cortex and medulla. During tolerance there is increased laminin </w:t>
      </w:r>
      <w:r w:rsidRPr="001A53A9">
        <w:rPr>
          <w:rFonts w:ascii="Symbol" w:hAnsi="Symbol" w:cs="Arial"/>
          <w:szCs w:val="22"/>
        </w:rPr>
        <w:t></w:t>
      </w:r>
      <w:r w:rsidRPr="001A53A9">
        <w:rPr>
          <w:rFonts w:cs="Arial"/>
          <w:szCs w:val="22"/>
        </w:rPr>
        <w:t xml:space="preserve">4 and decreased laminin </w:t>
      </w:r>
      <w:r w:rsidRPr="001A53A9">
        <w:rPr>
          <w:rFonts w:ascii="Symbol" w:hAnsi="Symbol" w:cs="Arial"/>
          <w:szCs w:val="22"/>
        </w:rPr>
        <w:t></w:t>
      </w:r>
      <w:r w:rsidRPr="001A53A9">
        <w:rPr>
          <w:rFonts w:cs="Arial"/>
          <w:szCs w:val="22"/>
        </w:rPr>
        <w:t xml:space="preserve">5 in the cortical ridge, while during immunity the ratios are reversed. </w:t>
      </w:r>
      <w:r>
        <w:rPr>
          <w:rFonts w:cs="Arial"/>
          <w:szCs w:val="22"/>
        </w:rPr>
        <w:t>F</w:t>
      </w:r>
      <w:r w:rsidRPr="001A53A9">
        <w:rPr>
          <w:rFonts w:cs="Arial"/>
          <w:szCs w:val="22"/>
        </w:rPr>
        <w:t>ibroblastic reticular cells regula</w:t>
      </w:r>
      <w:r>
        <w:rPr>
          <w:rFonts w:cs="Arial"/>
          <w:szCs w:val="22"/>
        </w:rPr>
        <w:t>te</w:t>
      </w:r>
      <w:r w:rsidRPr="001A53A9">
        <w:rPr>
          <w:rFonts w:cs="Arial"/>
          <w:szCs w:val="22"/>
        </w:rPr>
        <w:t xml:space="preserve"> lymph node structure and cytokines, antigen presentation, and tolerance. Other stromal fibers, such as ERTR-7, also dictate CD4+ T cell, Treg, and </w:t>
      </w:r>
      <w:proofErr w:type="spellStart"/>
      <w:r w:rsidRPr="001A53A9">
        <w:rPr>
          <w:rFonts w:cs="Arial"/>
          <w:szCs w:val="22"/>
        </w:rPr>
        <w:t>pDC</w:t>
      </w:r>
      <w:proofErr w:type="spellEnd"/>
      <w:r w:rsidRPr="001A53A9">
        <w:rPr>
          <w:rFonts w:cs="Arial"/>
          <w:szCs w:val="22"/>
        </w:rPr>
        <w:t xml:space="preserve"> movements and the choice between tolerance and immunity. These studies defined novel roles for stromal fibers, stromal cells, and the cortical ridge in tolerance.</w:t>
      </w:r>
    </w:p>
    <w:p w14:paraId="60F03E62" w14:textId="77777777" w:rsidR="0033047B" w:rsidRPr="001A53A9" w:rsidRDefault="0033047B" w:rsidP="0033047B">
      <w:pPr>
        <w:tabs>
          <w:tab w:val="left" w:pos="0"/>
          <w:tab w:val="left" w:pos="360"/>
        </w:tabs>
        <w:ind w:left="720" w:hanging="720"/>
        <w:jc w:val="both"/>
        <w:rPr>
          <w:rFonts w:cs="Arial"/>
          <w:szCs w:val="22"/>
        </w:rPr>
      </w:pPr>
      <w:r w:rsidRPr="001A53A9">
        <w:rPr>
          <w:rFonts w:cs="Arial"/>
          <w:szCs w:val="22"/>
        </w:rPr>
        <w:tab/>
      </w:r>
      <w:r w:rsidRPr="001A53A9">
        <w:rPr>
          <w:rFonts w:cs="Arial"/>
          <w:b/>
          <w:szCs w:val="22"/>
        </w:rPr>
        <w:t>a.</w:t>
      </w:r>
      <w:r>
        <w:rPr>
          <w:rFonts w:cs="Arial"/>
          <w:szCs w:val="22"/>
        </w:rPr>
        <w:tab/>
      </w:r>
      <w:bookmarkStart w:id="2" w:name="_Hlk60316664"/>
      <w:r w:rsidRPr="001A53A9">
        <w:rPr>
          <w:rFonts w:cs="Arial"/>
          <w:szCs w:val="22"/>
        </w:rPr>
        <w:t>Warren KJ, Iwami D, Harris DG, Bromberg JS, Burrell BE. Vascular basement membrane proteins laminin alpha 4 and laminin alpha 5 differentially influence CD4+ T cell lymph node trafficking and allograft fate. J. Clin. Invest., 2014, 124:2204-2218. PM</w:t>
      </w:r>
      <w:r>
        <w:rPr>
          <w:rFonts w:cs="Arial"/>
          <w:szCs w:val="22"/>
        </w:rPr>
        <w:t>C</w:t>
      </w:r>
      <w:r w:rsidRPr="001A53A9">
        <w:rPr>
          <w:rFonts w:cs="Arial"/>
          <w:szCs w:val="22"/>
        </w:rPr>
        <w:t xml:space="preserve">ID: </w:t>
      </w:r>
      <w:r>
        <w:rPr>
          <w:rFonts w:cs="Arial"/>
          <w:szCs w:val="22"/>
        </w:rPr>
        <w:t>PMC4001556.</w:t>
      </w:r>
    </w:p>
    <w:bookmarkEnd w:id="2"/>
    <w:p w14:paraId="7B96211F" w14:textId="77777777" w:rsidR="0033047B" w:rsidRPr="001A53A9" w:rsidRDefault="0033047B" w:rsidP="0033047B">
      <w:pPr>
        <w:tabs>
          <w:tab w:val="left" w:pos="0"/>
          <w:tab w:val="left" w:pos="360"/>
        </w:tabs>
        <w:ind w:left="720" w:hanging="720"/>
        <w:jc w:val="both"/>
        <w:rPr>
          <w:rFonts w:cs="Arial"/>
          <w:szCs w:val="22"/>
        </w:rPr>
      </w:pPr>
      <w:r w:rsidRPr="001A53A9">
        <w:rPr>
          <w:rFonts w:cs="Arial"/>
          <w:szCs w:val="22"/>
        </w:rPr>
        <w:tab/>
      </w:r>
      <w:r w:rsidRPr="001A53A9">
        <w:rPr>
          <w:rFonts w:cs="Arial"/>
          <w:b/>
          <w:szCs w:val="22"/>
        </w:rPr>
        <w:t>b.</w:t>
      </w:r>
      <w:r w:rsidRPr="001A53A9">
        <w:rPr>
          <w:rFonts w:cs="Arial"/>
          <w:szCs w:val="22"/>
        </w:rPr>
        <w:t xml:space="preserve"> </w:t>
      </w:r>
      <w:r>
        <w:rPr>
          <w:rFonts w:cs="Arial"/>
          <w:szCs w:val="22"/>
        </w:rPr>
        <w:tab/>
        <w:t>N</w:t>
      </w:r>
      <w:r w:rsidRPr="001A53A9">
        <w:rPr>
          <w:rFonts w:cs="Arial"/>
          <w:szCs w:val="22"/>
        </w:rPr>
        <w:t>akayama Y, Bromberg JS. Murine lymphotoxin-beta receptor signaling regulates stromal cell chemokine expression and neutrophil trafficking required for tolerance. Am. J. Transplant., 2012, 12: 2322–2334. PM</w:t>
      </w:r>
      <w:r>
        <w:rPr>
          <w:rFonts w:cs="Arial"/>
          <w:szCs w:val="22"/>
        </w:rPr>
        <w:t>C</w:t>
      </w:r>
      <w:r w:rsidRPr="001A53A9">
        <w:rPr>
          <w:rFonts w:cs="Arial"/>
          <w:szCs w:val="22"/>
        </w:rPr>
        <w:t xml:space="preserve">ID: </w:t>
      </w:r>
      <w:r>
        <w:rPr>
          <w:rFonts w:cs="Arial"/>
          <w:szCs w:val="22"/>
        </w:rPr>
        <w:t>PMC3424360.</w:t>
      </w:r>
    </w:p>
    <w:p w14:paraId="4981AC34" w14:textId="5D2F0CDD" w:rsidR="0033047B" w:rsidRPr="001A53A9" w:rsidRDefault="0033047B" w:rsidP="0033047B">
      <w:pPr>
        <w:tabs>
          <w:tab w:val="left" w:pos="0"/>
          <w:tab w:val="left" w:pos="360"/>
        </w:tabs>
        <w:ind w:left="720" w:hanging="720"/>
        <w:jc w:val="both"/>
        <w:rPr>
          <w:rFonts w:cs="Arial"/>
          <w:szCs w:val="22"/>
        </w:rPr>
      </w:pPr>
      <w:r w:rsidRPr="001A53A9">
        <w:rPr>
          <w:rFonts w:cs="Arial"/>
          <w:szCs w:val="22"/>
        </w:rPr>
        <w:tab/>
      </w:r>
      <w:r w:rsidRPr="001A53A9">
        <w:rPr>
          <w:rFonts w:cs="Arial"/>
          <w:b/>
          <w:szCs w:val="22"/>
        </w:rPr>
        <w:t>c.</w:t>
      </w:r>
      <w:r>
        <w:rPr>
          <w:rFonts w:cs="Arial"/>
          <w:szCs w:val="22"/>
        </w:rPr>
        <w:tab/>
      </w:r>
      <w:r w:rsidR="002B5A0E" w:rsidRPr="002B5A0E">
        <w:rPr>
          <w:rFonts w:cs="Arial"/>
          <w:szCs w:val="22"/>
        </w:rPr>
        <w:t>Tostanoski LH, Chui Y-C, Gammon JM, Simon T, Andorko J, Bromberg JS, Jewell CM. Reprogramming the local lymph node microenvironment during autoimmunity promotes systemic, yet antigen-specific tolerance. Cell Reports 2016, 16:2940–2952. PMCID: PMC5024722.</w:t>
      </w:r>
    </w:p>
    <w:p w14:paraId="0EB8302B" w14:textId="52151B85" w:rsidR="0033047B" w:rsidRDefault="0033047B" w:rsidP="0033047B">
      <w:pPr>
        <w:tabs>
          <w:tab w:val="left" w:pos="0"/>
          <w:tab w:val="left" w:pos="360"/>
        </w:tabs>
        <w:ind w:left="720" w:hanging="720"/>
        <w:jc w:val="both"/>
        <w:rPr>
          <w:rFonts w:cs="Arial"/>
          <w:szCs w:val="22"/>
        </w:rPr>
      </w:pPr>
      <w:r w:rsidRPr="001A53A9">
        <w:rPr>
          <w:rFonts w:cs="Arial"/>
          <w:szCs w:val="22"/>
        </w:rPr>
        <w:tab/>
      </w:r>
      <w:r w:rsidRPr="001A53A9">
        <w:rPr>
          <w:rFonts w:cs="Arial"/>
          <w:b/>
          <w:szCs w:val="22"/>
        </w:rPr>
        <w:t>d.</w:t>
      </w:r>
      <w:r>
        <w:rPr>
          <w:rFonts w:cs="Arial"/>
          <w:szCs w:val="22"/>
        </w:rPr>
        <w:tab/>
      </w:r>
      <w:r w:rsidR="002B5A0E" w:rsidRPr="002B5A0E">
        <w:rPr>
          <w:rFonts w:cs="Arial"/>
          <w:szCs w:val="22"/>
        </w:rPr>
        <w:t xml:space="preserve">Li L, </w:t>
      </w:r>
      <w:proofErr w:type="spellStart"/>
      <w:r w:rsidR="002B5A0E" w:rsidRPr="002B5A0E">
        <w:rPr>
          <w:rFonts w:cs="Arial"/>
          <w:szCs w:val="22"/>
        </w:rPr>
        <w:t>Willsonshirkey</w:t>
      </w:r>
      <w:proofErr w:type="spellEnd"/>
      <w:r w:rsidR="002B5A0E" w:rsidRPr="002B5A0E">
        <w:rPr>
          <w:rFonts w:cs="Arial"/>
          <w:szCs w:val="22"/>
        </w:rPr>
        <w:t xml:space="preserve"> M, Zhang T, Xiong Y, Piao W, Saxena V, Paluskievicz C, Lee Y, Toney N, Cerel BM, Li Q, Simon T, Smith KD, Hippen KL, Blazar BR, Abdi R, Bromberg JS. The lymph node stromal laminin </w:t>
      </w:r>
      <w:r w:rsidR="002B5A0E" w:rsidRPr="002B5A0E">
        <w:rPr>
          <w:rFonts w:ascii="Symbol" w:hAnsi="Symbol" w:cs="Arial"/>
          <w:szCs w:val="22"/>
        </w:rPr>
        <w:t></w:t>
      </w:r>
      <w:r w:rsidR="002B5A0E" w:rsidRPr="002B5A0E">
        <w:rPr>
          <w:rFonts w:cs="Arial"/>
          <w:szCs w:val="22"/>
        </w:rPr>
        <w:t xml:space="preserve">5 shapes </w:t>
      </w:r>
      <w:proofErr w:type="spellStart"/>
      <w:r w:rsidR="002B5A0E" w:rsidRPr="002B5A0E">
        <w:rPr>
          <w:rFonts w:cs="Arial"/>
          <w:szCs w:val="22"/>
        </w:rPr>
        <w:t>alloimmunity</w:t>
      </w:r>
      <w:proofErr w:type="spellEnd"/>
      <w:r w:rsidR="002B5A0E" w:rsidRPr="002B5A0E">
        <w:rPr>
          <w:rFonts w:cs="Arial"/>
          <w:szCs w:val="22"/>
        </w:rPr>
        <w:t>. J Clin Invest 2020, 130:2602-2619.</w:t>
      </w:r>
      <w:r w:rsidR="0074479F" w:rsidRPr="0074479F">
        <w:t xml:space="preserve"> </w:t>
      </w:r>
      <w:r w:rsidR="0074479F" w:rsidRPr="0074479F">
        <w:rPr>
          <w:rFonts w:cs="Arial"/>
          <w:szCs w:val="22"/>
        </w:rPr>
        <w:t>PMID: 32597832</w:t>
      </w:r>
    </w:p>
    <w:p w14:paraId="4B1C9CF7" w14:textId="77777777" w:rsidR="0033047B" w:rsidRPr="001A53A9" w:rsidRDefault="0033047B" w:rsidP="0033047B">
      <w:pPr>
        <w:tabs>
          <w:tab w:val="left" w:pos="0"/>
          <w:tab w:val="left" w:pos="360"/>
        </w:tabs>
        <w:spacing w:before="120"/>
        <w:jc w:val="both"/>
        <w:rPr>
          <w:rFonts w:cs="Arial"/>
          <w:szCs w:val="22"/>
        </w:rPr>
      </w:pPr>
      <w:r w:rsidRPr="001A53A9">
        <w:rPr>
          <w:rFonts w:cs="Arial"/>
          <w:b/>
          <w:szCs w:val="22"/>
        </w:rPr>
        <w:t>5.</w:t>
      </w:r>
      <w:r w:rsidRPr="001A53A9">
        <w:rPr>
          <w:rFonts w:cs="Arial"/>
          <w:szCs w:val="22"/>
        </w:rPr>
        <w:t xml:space="preserve"> </w:t>
      </w:r>
      <w:r w:rsidRPr="00A52080">
        <w:rPr>
          <w:rFonts w:cs="Arial"/>
          <w:b/>
          <w:bCs/>
          <w:szCs w:val="22"/>
        </w:rPr>
        <w:t xml:space="preserve">We </w:t>
      </w:r>
      <w:r w:rsidRPr="001A53A9">
        <w:rPr>
          <w:rFonts w:cs="Arial"/>
          <w:b/>
          <w:szCs w:val="22"/>
          <w:u w:val="single"/>
        </w:rPr>
        <w:t xml:space="preserve">uncovered novel activities for the S1PR agonist/antagonist FTY20 in modulating lymph node versus splenic </w:t>
      </w:r>
      <w:r w:rsidRPr="002B5A0E">
        <w:rPr>
          <w:rFonts w:cs="Arial"/>
          <w:b/>
          <w:szCs w:val="22"/>
          <w:u w:val="single"/>
        </w:rPr>
        <w:t>migration</w:t>
      </w:r>
      <w:r w:rsidRPr="002B5A0E">
        <w:rPr>
          <w:rFonts w:cs="Arial"/>
          <w:b/>
          <w:szCs w:val="22"/>
        </w:rPr>
        <w:t>, and immunity versus tolerance</w:t>
      </w:r>
      <w:r w:rsidRPr="00A52080">
        <w:rPr>
          <w:rFonts w:cs="Arial"/>
          <w:bCs/>
          <w:szCs w:val="22"/>
        </w:rPr>
        <w:t>.</w:t>
      </w:r>
      <w:r w:rsidRPr="001A53A9">
        <w:rPr>
          <w:rFonts w:cs="Arial"/>
          <w:szCs w:val="22"/>
        </w:rPr>
        <w:t xml:space="preserve"> My lab discovered that S1PR signaling involves a complex cascade, engaging multidrug transporters and cysteinyl leukotriene synthesis and transport to fully effect changes in lymphocyte migration. S1P acts as both a chemotactic cytokine and as an inhibitor of migration, depending on concentration and gradients. Targeting S1PR promotes graft survival and tolerance. These studies defined novel aspects of S1P and S1PR metabolism and function and shed new light on how activators and inhibitors may have highly complex effects in vivo.</w:t>
      </w:r>
    </w:p>
    <w:p w14:paraId="23BE842D" w14:textId="77777777" w:rsidR="0033047B" w:rsidRPr="001A53A9" w:rsidRDefault="0033047B" w:rsidP="0033047B">
      <w:pPr>
        <w:tabs>
          <w:tab w:val="left" w:pos="360"/>
        </w:tabs>
        <w:ind w:left="720" w:hanging="720"/>
        <w:jc w:val="both"/>
        <w:rPr>
          <w:rFonts w:cs="Arial"/>
          <w:szCs w:val="22"/>
        </w:rPr>
      </w:pPr>
      <w:r w:rsidRPr="001A53A9">
        <w:rPr>
          <w:rFonts w:cs="Arial"/>
          <w:szCs w:val="22"/>
        </w:rPr>
        <w:tab/>
      </w:r>
      <w:r w:rsidRPr="001A53A9">
        <w:rPr>
          <w:rFonts w:cs="Arial"/>
          <w:b/>
          <w:szCs w:val="22"/>
        </w:rPr>
        <w:t>a.</w:t>
      </w:r>
      <w:r>
        <w:rPr>
          <w:rFonts w:cs="Arial"/>
          <w:b/>
          <w:szCs w:val="22"/>
        </w:rPr>
        <w:tab/>
      </w:r>
      <w:r w:rsidRPr="001A53A9">
        <w:rPr>
          <w:rFonts w:cs="Arial"/>
          <w:szCs w:val="22"/>
        </w:rPr>
        <w:t xml:space="preserve">Honig SM, Fu S, Mao X, </w:t>
      </w:r>
      <w:proofErr w:type="spellStart"/>
      <w:r w:rsidRPr="001A53A9">
        <w:rPr>
          <w:rFonts w:cs="Arial"/>
          <w:szCs w:val="22"/>
        </w:rPr>
        <w:t>Yopp</w:t>
      </w:r>
      <w:proofErr w:type="spellEnd"/>
      <w:r w:rsidRPr="001A53A9">
        <w:rPr>
          <w:rFonts w:cs="Arial"/>
          <w:szCs w:val="22"/>
        </w:rPr>
        <w:t xml:space="preserve"> A, Gunn MD, Randolph GJ, Bromberg JS.  FTY720 stimulates multidrug transporter and cysteinyl leukotriene dependent T cell chemotaxis to lymph nodes. J. Clin. Invest., 2003, 11:627-637. PM</w:t>
      </w:r>
      <w:r>
        <w:rPr>
          <w:rFonts w:cs="Arial"/>
          <w:szCs w:val="22"/>
        </w:rPr>
        <w:t>C</w:t>
      </w:r>
      <w:r w:rsidRPr="001A53A9">
        <w:rPr>
          <w:rFonts w:cs="Arial"/>
          <w:szCs w:val="22"/>
        </w:rPr>
        <w:t xml:space="preserve">ID: </w:t>
      </w:r>
      <w:r>
        <w:rPr>
          <w:rFonts w:cs="Arial"/>
          <w:szCs w:val="22"/>
        </w:rPr>
        <w:t>PMC151892.</w:t>
      </w:r>
    </w:p>
    <w:p w14:paraId="5EE18105" w14:textId="77777777" w:rsidR="0033047B" w:rsidRPr="001A53A9" w:rsidRDefault="0033047B" w:rsidP="0033047B">
      <w:pPr>
        <w:tabs>
          <w:tab w:val="left" w:pos="360"/>
        </w:tabs>
        <w:ind w:left="720" w:hanging="720"/>
        <w:jc w:val="both"/>
        <w:rPr>
          <w:rFonts w:cs="Arial"/>
          <w:szCs w:val="22"/>
        </w:rPr>
      </w:pPr>
      <w:r w:rsidRPr="001A53A9">
        <w:rPr>
          <w:rFonts w:cs="Arial"/>
          <w:szCs w:val="22"/>
        </w:rPr>
        <w:tab/>
      </w:r>
      <w:r w:rsidRPr="001E04C3">
        <w:rPr>
          <w:rFonts w:cs="Arial"/>
          <w:b/>
          <w:szCs w:val="22"/>
        </w:rPr>
        <w:t>b.</w:t>
      </w:r>
      <w:r w:rsidRPr="001A53A9">
        <w:rPr>
          <w:rFonts w:cs="Arial"/>
          <w:szCs w:val="22"/>
        </w:rPr>
        <w:t xml:space="preserve"> </w:t>
      </w:r>
      <w:r>
        <w:rPr>
          <w:rFonts w:cs="Arial"/>
          <w:szCs w:val="22"/>
        </w:rPr>
        <w:tab/>
      </w:r>
      <w:proofErr w:type="spellStart"/>
      <w:r>
        <w:rPr>
          <w:rFonts w:cs="Arial"/>
          <w:szCs w:val="22"/>
        </w:rPr>
        <w:t>Y</w:t>
      </w:r>
      <w:r w:rsidRPr="001A53A9">
        <w:rPr>
          <w:rFonts w:cs="Arial"/>
          <w:szCs w:val="22"/>
        </w:rPr>
        <w:t>opp</w:t>
      </w:r>
      <w:proofErr w:type="spellEnd"/>
      <w:r w:rsidRPr="001A53A9">
        <w:rPr>
          <w:rFonts w:cs="Arial"/>
          <w:szCs w:val="22"/>
        </w:rPr>
        <w:t xml:space="preserve"> AC, </w:t>
      </w:r>
      <w:proofErr w:type="spellStart"/>
      <w:r w:rsidRPr="001A53A9">
        <w:rPr>
          <w:rFonts w:cs="Arial"/>
          <w:szCs w:val="22"/>
        </w:rPr>
        <w:t>Ochando</w:t>
      </w:r>
      <w:proofErr w:type="spellEnd"/>
      <w:r w:rsidRPr="001A53A9">
        <w:rPr>
          <w:rFonts w:cs="Arial"/>
          <w:szCs w:val="22"/>
        </w:rPr>
        <w:t xml:space="preserve"> JC, Mao M, </w:t>
      </w:r>
      <w:proofErr w:type="spellStart"/>
      <w:r w:rsidRPr="001A53A9">
        <w:rPr>
          <w:rFonts w:cs="Arial"/>
          <w:szCs w:val="22"/>
        </w:rPr>
        <w:t>Ledgerwood</w:t>
      </w:r>
      <w:proofErr w:type="spellEnd"/>
      <w:r w:rsidRPr="001A53A9">
        <w:rPr>
          <w:rFonts w:cs="Arial"/>
          <w:szCs w:val="22"/>
        </w:rPr>
        <w:t xml:space="preserve"> L, Ding Y, Bromberg JS. Sphingosine 1-phosphate receptors regulate chemokine driven </w:t>
      </w:r>
      <w:proofErr w:type="spellStart"/>
      <w:r w:rsidRPr="001A53A9">
        <w:rPr>
          <w:rFonts w:cs="Arial"/>
          <w:szCs w:val="22"/>
        </w:rPr>
        <w:t>transendothelial</w:t>
      </w:r>
      <w:proofErr w:type="spellEnd"/>
      <w:r w:rsidRPr="001A53A9">
        <w:rPr>
          <w:rFonts w:cs="Arial"/>
          <w:szCs w:val="22"/>
        </w:rPr>
        <w:t xml:space="preserve"> migration of lymph node but not splenic T cells. J. Immunol., 2005, 175:2913-2924. PMID: 16116177</w:t>
      </w:r>
      <w:r>
        <w:rPr>
          <w:rFonts w:cs="Arial"/>
          <w:szCs w:val="22"/>
        </w:rPr>
        <w:t>.</w:t>
      </w:r>
    </w:p>
    <w:p w14:paraId="0C1F9262" w14:textId="77777777" w:rsidR="0033047B" w:rsidRDefault="0033047B" w:rsidP="0033047B">
      <w:pPr>
        <w:tabs>
          <w:tab w:val="left" w:pos="360"/>
        </w:tabs>
        <w:ind w:left="720" w:hanging="720"/>
        <w:jc w:val="both"/>
        <w:rPr>
          <w:rFonts w:cs="Arial"/>
          <w:szCs w:val="22"/>
        </w:rPr>
      </w:pPr>
      <w:r w:rsidRPr="001A53A9">
        <w:rPr>
          <w:rFonts w:cs="Arial"/>
          <w:szCs w:val="22"/>
        </w:rPr>
        <w:tab/>
      </w:r>
      <w:r w:rsidRPr="001E04C3">
        <w:rPr>
          <w:rFonts w:cs="Arial"/>
          <w:b/>
          <w:szCs w:val="22"/>
        </w:rPr>
        <w:t>c.</w:t>
      </w:r>
      <w:r>
        <w:rPr>
          <w:rFonts w:cs="Arial"/>
          <w:b/>
          <w:szCs w:val="22"/>
        </w:rPr>
        <w:tab/>
      </w:r>
      <w:proofErr w:type="spellStart"/>
      <w:r w:rsidRPr="001A53A9">
        <w:rPr>
          <w:rFonts w:cs="Arial"/>
          <w:szCs w:val="22"/>
        </w:rPr>
        <w:t>Ledgerwood</w:t>
      </w:r>
      <w:proofErr w:type="spellEnd"/>
      <w:r w:rsidRPr="001A53A9">
        <w:rPr>
          <w:rFonts w:cs="Arial"/>
          <w:szCs w:val="22"/>
        </w:rPr>
        <w:t xml:space="preserve"> LG, Lal G, Zhang N, </w:t>
      </w:r>
      <w:proofErr w:type="spellStart"/>
      <w:r w:rsidRPr="001A53A9">
        <w:rPr>
          <w:rFonts w:cs="Arial"/>
          <w:szCs w:val="22"/>
        </w:rPr>
        <w:t>Garin</w:t>
      </w:r>
      <w:proofErr w:type="spellEnd"/>
      <w:r w:rsidRPr="001A53A9">
        <w:rPr>
          <w:rFonts w:cs="Arial"/>
          <w:szCs w:val="22"/>
        </w:rPr>
        <w:t xml:space="preserve"> A, </w:t>
      </w:r>
      <w:proofErr w:type="spellStart"/>
      <w:r w:rsidRPr="001A53A9">
        <w:rPr>
          <w:rFonts w:cs="Arial"/>
          <w:szCs w:val="22"/>
        </w:rPr>
        <w:t>Esses</w:t>
      </w:r>
      <w:proofErr w:type="spellEnd"/>
      <w:r w:rsidRPr="001A53A9">
        <w:rPr>
          <w:rFonts w:cs="Arial"/>
          <w:szCs w:val="22"/>
        </w:rPr>
        <w:t xml:space="preserve"> SJ, </w:t>
      </w:r>
      <w:proofErr w:type="spellStart"/>
      <w:r w:rsidRPr="001A53A9">
        <w:rPr>
          <w:rFonts w:cs="Arial"/>
          <w:szCs w:val="22"/>
        </w:rPr>
        <w:t>Ginhoux</w:t>
      </w:r>
      <w:proofErr w:type="spellEnd"/>
      <w:r w:rsidRPr="001A53A9">
        <w:rPr>
          <w:rFonts w:cs="Arial"/>
          <w:szCs w:val="22"/>
        </w:rPr>
        <w:t xml:space="preserve"> F, </w:t>
      </w:r>
      <w:proofErr w:type="spellStart"/>
      <w:r w:rsidRPr="001A53A9">
        <w:rPr>
          <w:rFonts w:cs="Arial"/>
          <w:szCs w:val="22"/>
        </w:rPr>
        <w:t>Peche</w:t>
      </w:r>
      <w:proofErr w:type="spellEnd"/>
      <w:r w:rsidRPr="001A53A9">
        <w:rPr>
          <w:rFonts w:cs="Arial"/>
          <w:szCs w:val="22"/>
        </w:rPr>
        <w:t xml:space="preserve"> H, Lira SA, Ding Y, Yang Y, He X, </w:t>
      </w:r>
      <w:proofErr w:type="spellStart"/>
      <w:r w:rsidRPr="001A53A9">
        <w:rPr>
          <w:rFonts w:cs="Arial"/>
          <w:szCs w:val="22"/>
        </w:rPr>
        <w:t>Schuchman</w:t>
      </w:r>
      <w:proofErr w:type="spellEnd"/>
      <w:r w:rsidRPr="001A53A9">
        <w:rPr>
          <w:rFonts w:cs="Arial"/>
          <w:szCs w:val="22"/>
        </w:rPr>
        <w:t xml:space="preserve"> EH, Allende ML, </w:t>
      </w:r>
      <w:proofErr w:type="spellStart"/>
      <w:r w:rsidRPr="001A53A9">
        <w:rPr>
          <w:rFonts w:cs="Arial"/>
          <w:szCs w:val="22"/>
        </w:rPr>
        <w:t>Ochando</w:t>
      </w:r>
      <w:proofErr w:type="spellEnd"/>
      <w:r w:rsidRPr="001A53A9">
        <w:rPr>
          <w:rFonts w:cs="Arial"/>
          <w:szCs w:val="22"/>
        </w:rPr>
        <w:t xml:space="preserve"> JC, Bromberg JS. Sphingosine 1-phosphate receptor S1P1 causes tissue retention by inhibiting peripheral tissue T lymphocyte entry into afferent lymphatics.  Nature Immunol., 2008, 9:42-53. PMID: 18037890</w:t>
      </w:r>
      <w:r>
        <w:rPr>
          <w:rFonts w:cs="Arial"/>
          <w:szCs w:val="22"/>
        </w:rPr>
        <w:t>.</w:t>
      </w:r>
    </w:p>
    <w:p w14:paraId="323F6CDB" w14:textId="77777777" w:rsidR="0033047B" w:rsidRPr="001E04C3" w:rsidRDefault="0033047B" w:rsidP="005B7EFB">
      <w:pPr>
        <w:tabs>
          <w:tab w:val="left" w:pos="360"/>
        </w:tabs>
        <w:spacing w:after="120"/>
        <w:ind w:left="720" w:hanging="720"/>
        <w:jc w:val="both"/>
        <w:rPr>
          <w:rFonts w:cs="Arial"/>
          <w:szCs w:val="22"/>
        </w:rPr>
      </w:pPr>
      <w:r>
        <w:rPr>
          <w:rFonts w:cs="Arial"/>
          <w:szCs w:val="22"/>
        </w:rPr>
        <w:tab/>
      </w:r>
      <w:r w:rsidRPr="001E04C3">
        <w:rPr>
          <w:rFonts w:cs="Arial"/>
          <w:b/>
          <w:szCs w:val="22"/>
        </w:rPr>
        <w:t>d.</w:t>
      </w:r>
      <w:r>
        <w:rPr>
          <w:rFonts w:cs="Arial"/>
          <w:b/>
          <w:szCs w:val="22"/>
        </w:rPr>
        <w:tab/>
      </w:r>
      <w:r w:rsidRPr="001E04C3">
        <w:rPr>
          <w:rFonts w:cs="Arial"/>
          <w:szCs w:val="22"/>
        </w:rPr>
        <w:t xml:space="preserve">Xiong Y, Piao W, Brinkman CC, Li L, Kulinski JM, Olivera A, Cartier A, Hla T, Hippen K, Blazar B, Schwab SR, Bromberg JS. </w:t>
      </w:r>
      <w:r>
        <w:rPr>
          <w:rFonts w:cs="Arial"/>
          <w:szCs w:val="22"/>
        </w:rPr>
        <w:t xml:space="preserve">CD4 T cell </w:t>
      </w:r>
      <w:r w:rsidRPr="001E04C3">
        <w:rPr>
          <w:rFonts w:cs="Arial"/>
          <w:szCs w:val="22"/>
        </w:rPr>
        <w:t xml:space="preserve">Sphingosine 1-phosphate </w:t>
      </w:r>
      <w:r>
        <w:rPr>
          <w:rFonts w:cs="Arial"/>
          <w:szCs w:val="22"/>
        </w:rPr>
        <w:t xml:space="preserve">receptor </w:t>
      </w:r>
      <w:r w:rsidRPr="001E04C3">
        <w:rPr>
          <w:rFonts w:cs="Arial"/>
          <w:szCs w:val="22"/>
        </w:rPr>
        <w:t>(S1P</w:t>
      </w:r>
      <w:r>
        <w:rPr>
          <w:rFonts w:cs="Arial"/>
          <w:szCs w:val="22"/>
        </w:rPr>
        <w:t>R</w:t>
      </w:r>
      <w:r w:rsidRPr="001E04C3">
        <w:rPr>
          <w:rFonts w:cs="Arial"/>
          <w:szCs w:val="22"/>
        </w:rPr>
        <w:t>)</w:t>
      </w:r>
      <w:r>
        <w:rPr>
          <w:rFonts w:cs="Arial"/>
          <w:szCs w:val="22"/>
        </w:rPr>
        <w:t xml:space="preserve">1 and S1PR4 and endothelial S1PR2 regulate </w:t>
      </w:r>
      <w:r w:rsidRPr="001E04C3">
        <w:rPr>
          <w:rFonts w:cs="Arial"/>
          <w:szCs w:val="22"/>
        </w:rPr>
        <w:t xml:space="preserve">afferent lymphatic </w:t>
      </w:r>
      <w:r>
        <w:rPr>
          <w:rFonts w:cs="Arial"/>
          <w:szCs w:val="22"/>
        </w:rPr>
        <w:t>migration</w:t>
      </w:r>
      <w:r w:rsidRPr="001E04C3">
        <w:rPr>
          <w:rFonts w:cs="Arial"/>
          <w:szCs w:val="22"/>
        </w:rPr>
        <w:t xml:space="preserve">. </w:t>
      </w:r>
      <w:r w:rsidRPr="009D0044">
        <w:rPr>
          <w:rFonts w:cs="Arial"/>
          <w:szCs w:val="22"/>
        </w:rPr>
        <w:t xml:space="preserve">Science Immunology 2019, </w:t>
      </w:r>
      <w:r>
        <w:rPr>
          <w:rFonts w:cs="Arial"/>
          <w:szCs w:val="22"/>
        </w:rPr>
        <w:t>Mar 15;4(</w:t>
      </w:r>
      <w:proofErr w:type="gramStart"/>
      <w:r>
        <w:rPr>
          <w:rFonts w:cs="Arial"/>
          <w:szCs w:val="22"/>
        </w:rPr>
        <w:t>33)eeav</w:t>
      </w:r>
      <w:proofErr w:type="gramEnd"/>
      <w:r>
        <w:rPr>
          <w:rFonts w:cs="Arial"/>
          <w:szCs w:val="22"/>
        </w:rPr>
        <w:t>1263</w:t>
      </w:r>
      <w:r w:rsidRPr="009D0044">
        <w:rPr>
          <w:rFonts w:cs="Arial"/>
          <w:szCs w:val="22"/>
        </w:rPr>
        <w:t xml:space="preserve">. </w:t>
      </w:r>
      <w:proofErr w:type="spellStart"/>
      <w:r w:rsidRPr="009D0044">
        <w:rPr>
          <w:rFonts w:cs="Arial"/>
          <w:szCs w:val="22"/>
        </w:rPr>
        <w:t>doi</w:t>
      </w:r>
      <w:proofErr w:type="spellEnd"/>
      <w:r w:rsidRPr="009D0044">
        <w:rPr>
          <w:rFonts w:cs="Arial"/>
          <w:szCs w:val="22"/>
        </w:rPr>
        <w:t>: 10.1126/</w:t>
      </w:r>
      <w:proofErr w:type="gramStart"/>
      <w:r w:rsidRPr="009D0044">
        <w:rPr>
          <w:rFonts w:cs="Arial"/>
          <w:szCs w:val="22"/>
        </w:rPr>
        <w:t>sciimmunol.aav</w:t>
      </w:r>
      <w:proofErr w:type="gramEnd"/>
      <w:r w:rsidRPr="009D0044">
        <w:rPr>
          <w:rFonts w:cs="Arial"/>
          <w:szCs w:val="22"/>
        </w:rPr>
        <w:t>1263</w:t>
      </w:r>
      <w:r>
        <w:rPr>
          <w:rFonts w:cs="Arial"/>
          <w:szCs w:val="22"/>
        </w:rPr>
        <w:t>. PMCID: PMC6744614.</w:t>
      </w:r>
    </w:p>
    <w:p w14:paraId="3B3BEFC6" w14:textId="45B729D2" w:rsidR="003E1C78" w:rsidRPr="001A53A9" w:rsidRDefault="0033047B" w:rsidP="003E1C78">
      <w:pPr>
        <w:tabs>
          <w:tab w:val="left" w:pos="360"/>
        </w:tabs>
        <w:jc w:val="both"/>
        <w:rPr>
          <w:rFonts w:cs="Arial"/>
          <w:szCs w:val="22"/>
        </w:rPr>
      </w:pPr>
      <w:r w:rsidRPr="001A53A9">
        <w:rPr>
          <w:rFonts w:cs="Arial"/>
          <w:szCs w:val="22"/>
        </w:rPr>
        <w:t xml:space="preserve">Link to my full CV: </w:t>
      </w:r>
      <w:hyperlink r:id="rId10" w:history="1">
        <w:r w:rsidR="003E1C78" w:rsidRPr="003E1C78">
          <w:rPr>
            <w:color w:val="0000FF"/>
            <w:u w:val="single"/>
          </w:rPr>
          <w:t>https://www.ncbi.nlm.nih.gov/myncbi/jonathan.bromberg.1/bibliography/public/</w:t>
        </w:r>
      </w:hyperlink>
    </w:p>
    <w:sectPr w:rsidR="003E1C78" w:rsidRPr="001A53A9" w:rsidSect="00DF7645">
      <w:headerReference w:type="default" r:id="rId11"/>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9B611" w14:textId="77777777" w:rsidR="00561958" w:rsidRDefault="00561958">
      <w:r>
        <w:separator/>
      </w:r>
    </w:p>
  </w:endnote>
  <w:endnote w:type="continuationSeparator" w:id="0">
    <w:p w14:paraId="22EAD02F" w14:textId="77777777" w:rsidR="00561958" w:rsidRDefault="00561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322F4" w14:textId="77777777" w:rsidR="00561958" w:rsidRDefault="00561958">
      <w:r>
        <w:separator/>
      </w:r>
    </w:p>
  </w:footnote>
  <w:footnote w:type="continuationSeparator" w:id="0">
    <w:p w14:paraId="4093E167" w14:textId="77777777" w:rsidR="00561958" w:rsidRDefault="005619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11255" w14:textId="4BE79BB4" w:rsidR="00E127A1" w:rsidRDefault="00E127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2"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4" w15:restartNumberingAfterBreak="0">
    <w:nsid w:val="525A10E0"/>
    <w:multiLevelType w:val="hybridMultilevel"/>
    <w:tmpl w:val="3CE0B6DA"/>
    <w:lvl w:ilvl="0" w:tplc="5658BEC0">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B86C5E"/>
    <w:multiLevelType w:val="multilevel"/>
    <w:tmpl w:val="5106D01A"/>
    <w:lvl w:ilvl="0">
      <w:start w:val="1994"/>
      <w:numFmt w:val="decimal"/>
      <w:lvlText w:val="%1"/>
      <w:lvlJc w:val="left"/>
      <w:pPr>
        <w:tabs>
          <w:tab w:val="num" w:pos="1440"/>
        </w:tabs>
        <w:ind w:left="1440" w:hanging="1440"/>
      </w:pPr>
      <w:rPr>
        <w:rFonts w:hint="default"/>
      </w:rPr>
    </w:lvl>
    <w:lvl w:ilvl="1">
      <w:start w:val="1999"/>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num w:numId="1" w16cid:durableId="322587490">
    <w:abstractNumId w:val="9"/>
  </w:num>
  <w:num w:numId="2" w16cid:durableId="892890457">
    <w:abstractNumId w:val="7"/>
  </w:num>
  <w:num w:numId="3" w16cid:durableId="1632515767">
    <w:abstractNumId w:val="6"/>
  </w:num>
  <w:num w:numId="4" w16cid:durableId="854655233">
    <w:abstractNumId w:val="5"/>
  </w:num>
  <w:num w:numId="5" w16cid:durableId="1832983762">
    <w:abstractNumId w:val="4"/>
  </w:num>
  <w:num w:numId="6" w16cid:durableId="1427535345">
    <w:abstractNumId w:val="8"/>
  </w:num>
  <w:num w:numId="7" w16cid:durableId="943727732">
    <w:abstractNumId w:val="3"/>
  </w:num>
  <w:num w:numId="8" w16cid:durableId="841625773">
    <w:abstractNumId w:val="2"/>
  </w:num>
  <w:num w:numId="9" w16cid:durableId="1499610997">
    <w:abstractNumId w:val="1"/>
  </w:num>
  <w:num w:numId="10" w16cid:durableId="900094953">
    <w:abstractNumId w:val="0"/>
  </w:num>
  <w:num w:numId="11" w16cid:durableId="478235169">
    <w:abstractNumId w:val="0"/>
  </w:num>
  <w:num w:numId="12" w16cid:durableId="1261451196">
    <w:abstractNumId w:val="13"/>
  </w:num>
  <w:num w:numId="13" w16cid:durableId="1550189741">
    <w:abstractNumId w:val="11"/>
  </w:num>
  <w:num w:numId="14" w16cid:durableId="1496457738">
    <w:abstractNumId w:val="18"/>
  </w:num>
  <w:num w:numId="15" w16cid:durableId="1768652314">
    <w:abstractNumId w:val="16"/>
  </w:num>
  <w:num w:numId="16" w16cid:durableId="787314556">
    <w:abstractNumId w:val="17"/>
  </w:num>
  <w:num w:numId="17" w16cid:durableId="1204438240">
    <w:abstractNumId w:val="10"/>
  </w:num>
  <w:num w:numId="18" w16cid:durableId="1610351752">
    <w:abstractNumId w:val="12"/>
  </w:num>
  <w:num w:numId="19" w16cid:durableId="2100563726">
    <w:abstractNumId w:val="14"/>
  </w:num>
  <w:num w:numId="20" w16cid:durableId="66285571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A45"/>
    <w:rsid w:val="00004385"/>
    <w:rsid w:val="00007231"/>
    <w:rsid w:val="00023A7A"/>
    <w:rsid w:val="000353AE"/>
    <w:rsid w:val="0003555D"/>
    <w:rsid w:val="00067621"/>
    <w:rsid w:val="00084466"/>
    <w:rsid w:val="000E3BEC"/>
    <w:rsid w:val="00106DA1"/>
    <w:rsid w:val="00122EB3"/>
    <w:rsid w:val="00132CA6"/>
    <w:rsid w:val="0014571A"/>
    <w:rsid w:val="001706C5"/>
    <w:rsid w:val="00170D87"/>
    <w:rsid w:val="00177D49"/>
    <w:rsid w:val="00182189"/>
    <w:rsid w:val="00183022"/>
    <w:rsid w:val="001A4303"/>
    <w:rsid w:val="001B6E1C"/>
    <w:rsid w:val="001C065C"/>
    <w:rsid w:val="001F6822"/>
    <w:rsid w:val="002506F6"/>
    <w:rsid w:val="0028051C"/>
    <w:rsid w:val="00290160"/>
    <w:rsid w:val="00296376"/>
    <w:rsid w:val="002A70D9"/>
    <w:rsid w:val="002A792D"/>
    <w:rsid w:val="002B5A0E"/>
    <w:rsid w:val="002B7443"/>
    <w:rsid w:val="002C4808"/>
    <w:rsid w:val="002C51BC"/>
    <w:rsid w:val="002D7520"/>
    <w:rsid w:val="002E2CA2"/>
    <w:rsid w:val="002E5125"/>
    <w:rsid w:val="002E68FB"/>
    <w:rsid w:val="00300A47"/>
    <w:rsid w:val="00307C9E"/>
    <w:rsid w:val="00321A19"/>
    <w:rsid w:val="0033047B"/>
    <w:rsid w:val="00342E45"/>
    <w:rsid w:val="0035045F"/>
    <w:rsid w:val="003609D8"/>
    <w:rsid w:val="0037667F"/>
    <w:rsid w:val="0038087C"/>
    <w:rsid w:val="00382AB6"/>
    <w:rsid w:val="00383712"/>
    <w:rsid w:val="003C2647"/>
    <w:rsid w:val="003C3CA5"/>
    <w:rsid w:val="003C62D6"/>
    <w:rsid w:val="003D2399"/>
    <w:rsid w:val="003E1C78"/>
    <w:rsid w:val="003E4A92"/>
    <w:rsid w:val="003F6A45"/>
    <w:rsid w:val="0040289D"/>
    <w:rsid w:val="00432346"/>
    <w:rsid w:val="00447F3A"/>
    <w:rsid w:val="00470F41"/>
    <w:rsid w:val="004759D9"/>
    <w:rsid w:val="0049068A"/>
    <w:rsid w:val="00493D23"/>
    <w:rsid w:val="004A3FC8"/>
    <w:rsid w:val="004E60C1"/>
    <w:rsid w:val="00503B57"/>
    <w:rsid w:val="005145BB"/>
    <w:rsid w:val="00517BFD"/>
    <w:rsid w:val="00531589"/>
    <w:rsid w:val="005443CB"/>
    <w:rsid w:val="0054471F"/>
    <w:rsid w:val="005461F3"/>
    <w:rsid w:val="00547118"/>
    <w:rsid w:val="00547AC9"/>
    <w:rsid w:val="00561958"/>
    <w:rsid w:val="00592740"/>
    <w:rsid w:val="005A7F6F"/>
    <w:rsid w:val="005B7EFB"/>
    <w:rsid w:val="005C2BDD"/>
    <w:rsid w:val="005C2CF8"/>
    <w:rsid w:val="005C47A8"/>
    <w:rsid w:val="005E406E"/>
    <w:rsid w:val="005F0B12"/>
    <w:rsid w:val="005F5F51"/>
    <w:rsid w:val="00601C69"/>
    <w:rsid w:val="00616BCC"/>
    <w:rsid w:val="00624261"/>
    <w:rsid w:val="00646AF9"/>
    <w:rsid w:val="00656AB8"/>
    <w:rsid w:val="006609B6"/>
    <w:rsid w:val="0068699D"/>
    <w:rsid w:val="006874F8"/>
    <w:rsid w:val="006A353C"/>
    <w:rsid w:val="006A490C"/>
    <w:rsid w:val="006A56FC"/>
    <w:rsid w:val="006B2D1C"/>
    <w:rsid w:val="006C1E1F"/>
    <w:rsid w:val="006E6FB5"/>
    <w:rsid w:val="007050F5"/>
    <w:rsid w:val="0071140F"/>
    <w:rsid w:val="00717C3E"/>
    <w:rsid w:val="00722C8F"/>
    <w:rsid w:val="007367B9"/>
    <w:rsid w:val="0074479F"/>
    <w:rsid w:val="00763DE9"/>
    <w:rsid w:val="00781234"/>
    <w:rsid w:val="007B7AF3"/>
    <w:rsid w:val="007E6E1E"/>
    <w:rsid w:val="008073EB"/>
    <w:rsid w:val="00843027"/>
    <w:rsid w:val="008679DA"/>
    <w:rsid w:val="00873917"/>
    <w:rsid w:val="00874EBC"/>
    <w:rsid w:val="0087514A"/>
    <w:rsid w:val="00890CA9"/>
    <w:rsid w:val="008F5C6F"/>
    <w:rsid w:val="0091231A"/>
    <w:rsid w:val="009211D3"/>
    <w:rsid w:val="00933173"/>
    <w:rsid w:val="00934124"/>
    <w:rsid w:val="009360F4"/>
    <w:rsid w:val="00952A27"/>
    <w:rsid w:val="00977473"/>
    <w:rsid w:val="00977FA5"/>
    <w:rsid w:val="009D7E97"/>
    <w:rsid w:val="009E52CA"/>
    <w:rsid w:val="009F72E5"/>
    <w:rsid w:val="00A02F16"/>
    <w:rsid w:val="00A03FFA"/>
    <w:rsid w:val="00A04942"/>
    <w:rsid w:val="00A04B52"/>
    <w:rsid w:val="00A1469B"/>
    <w:rsid w:val="00A14EF5"/>
    <w:rsid w:val="00A26D0F"/>
    <w:rsid w:val="00A42D9B"/>
    <w:rsid w:val="00A50A8B"/>
    <w:rsid w:val="00A55D1D"/>
    <w:rsid w:val="00A61712"/>
    <w:rsid w:val="00A63D7C"/>
    <w:rsid w:val="00A7514C"/>
    <w:rsid w:val="00A8122C"/>
    <w:rsid w:val="00A83312"/>
    <w:rsid w:val="00A87F61"/>
    <w:rsid w:val="00A94D51"/>
    <w:rsid w:val="00AE2169"/>
    <w:rsid w:val="00AE41C4"/>
    <w:rsid w:val="00AF0125"/>
    <w:rsid w:val="00BE088B"/>
    <w:rsid w:val="00C05C55"/>
    <w:rsid w:val="00C076C6"/>
    <w:rsid w:val="00C1247F"/>
    <w:rsid w:val="00C137DA"/>
    <w:rsid w:val="00C20F69"/>
    <w:rsid w:val="00C3113F"/>
    <w:rsid w:val="00C4536F"/>
    <w:rsid w:val="00C46ADA"/>
    <w:rsid w:val="00C8438D"/>
    <w:rsid w:val="00C85025"/>
    <w:rsid w:val="00C918BD"/>
    <w:rsid w:val="00C94E59"/>
    <w:rsid w:val="00CA680A"/>
    <w:rsid w:val="00CE0951"/>
    <w:rsid w:val="00CF10AA"/>
    <w:rsid w:val="00CF68A2"/>
    <w:rsid w:val="00CF6FAD"/>
    <w:rsid w:val="00D3779E"/>
    <w:rsid w:val="00D679E5"/>
    <w:rsid w:val="00D74391"/>
    <w:rsid w:val="00D83360"/>
    <w:rsid w:val="00D91211"/>
    <w:rsid w:val="00D96469"/>
    <w:rsid w:val="00DB7B85"/>
    <w:rsid w:val="00DD31B4"/>
    <w:rsid w:val="00DF7645"/>
    <w:rsid w:val="00E03323"/>
    <w:rsid w:val="00E047AD"/>
    <w:rsid w:val="00E12287"/>
    <w:rsid w:val="00E127A1"/>
    <w:rsid w:val="00E15579"/>
    <w:rsid w:val="00E20E6D"/>
    <w:rsid w:val="00E355C2"/>
    <w:rsid w:val="00E53B95"/>
    <w:rsid w:val="00E61968"/>
    <w:rsid w:val="00E67A05"/>
    <w:rsid w:val="00E74AB7"/>
    <w:rsid w:val="00E81FE1"/>
    <w:rsid w:val="00E90203"/>
    <w:rsid w:val="00EA029A"/>
    <w:rsid w:val="00EA0405"/>
    <w:rsid w:val="00ED35D7"/>
    <w:rsid w:val="00ED61AB"/>
    <w:rsid w:val="00EF4C32"/>
    <w:rsid w:val="00EF69CD"/>
    <w:rsid w:val="00F02126"/>
    <w:rsid w:val="00F07AB3"/>
    <w:rsid w:val="00F17EB9"/>
    <w:rsid w:val="00F262AB"/>
    <w:rsid w:val="00F61DF6"/>
    <w:rsid w:val="00F7284D"/>
    <w:rsid w:val="00F94A2B"/>
    <w:rsid w:val="00FA00C6"/>
    <w:rsid w:val="00FB7745"/>
    <w:rsid w:val="00FC193E"/>
    <w:rsid w:val="00FC3E35"/>
    <w:rsid w:val="00FC5F9E"/>
    <w:rsid w:val="00FD0D9C"/>
    <w:rsid w:val="00FE10AD"/>
    <w:rsid w:val="00FE52B9"/>
    <w:rsid w:val="00FE7A5F"/>
    <w:rsid w:val="00FF1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F5C490"/>
  <w15:chartTrackingRefBased/>
  <w15:docId w15:val="{6A0637CB-648B-4C13-B815-8F67F370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paragraph" w:styleId="ListParagraph">
    <w:name w:val="List Paragraph"/>
    <w:basedOn w:val="Normal"/>
    <w:uiPriority w:val="34"/>
    <w:qFormat/>
    <w:rsid w:val="003304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34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ncbi.nlm.nih.gov/myncbi/jonathan.bromberg.1/bibliography/public/"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100C7699C73A498CB057F667D9CD99" ma:contentTypeVersion="14" ma:contentTypeDescription="Create a new document." ma:contentTypeScope="" ma:versionID="da1b2f359c56964e8a9e5ba2f4a7bb8e">
  <xsd:schema xmlns:xsd="http://www.w3.org/2001/XMLSchema" xmlns:xs="http://www.w3.org/2001/XMLSchema" xmlns:p="http://schemas.microsoft.com/office/2006/metadata/properties" xmlns:ns1="http://schemas.microsoft.com/sharepoint/v3" xmlns:ns3="0b516ab0-04e4-4c88-99cd-523706b96b1a" xmlns:ns4="589fc4a7-9825-4918-b2d3-6237c872ffbf" targetNamespace="http://schemas.microsoft.com/office/2006/metadata/properties" ma:root="true" ma:fieldsID="13579475e6e87a3a4fadde96db207311" ns1:_="" ns3:_="" ns4:_="">
    <xsd:import namespace="http://schemas.microsoft.com/sharepoint/v3"/>
    <xsd:import namespace="0b516ab0-04e4-4c88-99cd-523706b96b1a"/>
    <xsd:import namespace="589fc4a7-9825-4918-b2d3-6237c872ff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516ab0-04e4-4c88-99cd-523706b96b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9fc4a7-9825-4918-b2d3-6237c872ff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4A9A40-AA55-4CBA-93F5-B14C65A49478}">
  <ds:schemaRefs>
    <ds:schemaRef ds:uri="http://schemas.microsoft.com/sharepoint/v3/contenttype/forms"/>
  </ds:schemaRefs>
</ds:datastoreItem>
</file>

<file path=customXml/itemProps2.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9D37666-E58B-431B-B07E-592DB74D6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b516ab0-04e4-4c88-99cd-523706b96b1a"/>
    <ds:schemaRef ds:uri="589fc4a7-9825-4918-b2d3-6237c872f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5</Pages>
  <Words>3075</Words>
  <Characters>19191</Characters>
  <Application>Microsoft Office Word</Application>
  <DocSecurity>0</DocSecurity>
  <Lines>355</Lines>
  <Paragraphs>179</Paragraphs>
  <ScaleCrop>false</ScaleCrop>
  <HeadingPairs>
    <vt:vector size="2" baseType="variant">
      <vt:variant>
        <vt:lpstr>Title</vt:lpstr>
      </vt:variant>
      <vt:variant>
        <vt:i4>1</vt:i4>
      </vt:variant>
    </vt:vector>
  </HeadingPairs>
  <TitlesOfParts>
    <vt:vector size="1" baseType="lpstr">
      <vt:lpstr>OMB No. 0925-0046, Biographical Sketch Format Page</vt:lpstr>
    </vt:vector>
  </TitlesOfParts>
  <Company>DHHS/PHS/NIH</Company>
  <LinksUpToDate>false</LinksUpToDate>
  <CharactersWithSpaces>22087</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0925-0046, Biographical Sketch Format Page</dc:title>
  <dc:subject>DHHS, Public Health Service Grant Application</dc:subject>
  <dc:creator>Office of Extramural Programs</dc:creator>
  <cp:keywords>PHS Grant Application, 0925-0001/0002, (Rev. 08/12), Biographical Sketch Format Page</cp:keywords>
  <dc:description/>
  <cp:lastModifiedBy>Sun, Yan</cp:lastModifiedBy>
  <cp:revision>17</cp:revision>
  <cp:lastPrinted>2011-03-11T19:43:00Z</cp:lastPrinted>
  <dcterms:created xsi:type="dcterms:W3CDTF">2022-12-02T17:08:00Z</dcterms:created>
  <dcterms:modified xsi:type="dcterms:W3CDTF">2023-10-16T18:45:00Z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0x01010027100C7699C73A498CB057F667D9CD99</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